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CE400C">
      <w:pPr>
        <w:pStyle w:val="NormalWeb"/>
        <w:spacing w:before="0" w:beforeAutospacing="0" w:after="0" w:afterAutospacing="0"/>
        <w:jc w:val="both"/>
        <w:rPr>
          <w:rFonts w:ascii="Arial" w:hAnsi="Arial" w:cs="Arial"/>
          <w:b/>
          <w:bCs/>
          <w:caps/>
          <w:color w:val="376889"/>
        </w:rPr>
      </w:pPr>
    </w:p>
    <w:p w:rsidR="00332D8A" w:rsidRPr="003B674E" w:rsidRDefault="00332D8A" w:rsidP="00CE400C">
      <w:pPr>
        <w:pStyle w:val="NormalWeb"/>
        <w:spacing w:before="0" w:beforeAutospacing="0" w:after="0" w:afterAutospacing="0"/>
        <w:jc w:val="both"/>
        <w:rPr>
          <w:rFonts w:ascii="Arial" w:hAnsi="Arial" w:cs="Arial"/>
          <w:b/>
          <w:bCs/>
          <w:caps/>
          <w:color w:val="002F5D"/>
        </w:rPr>
      </w:pPr>
      <w:r w:rsidRPr="003B674E">
        <w:rPr>
          <w:rFonts w:ascii="Arial" w:hAnsi="Arial" w:cs="Arial"/>
          <w:b/>
          <w:bCs/>
          <w:caps/>
          <w:color w:val="002F5D"/>
        </w:rPr>
        <w:t>nacionales</w:t>
      </w:r>
    </w:p>
    <w:p w:rsidR="00CE400C" w:rsidRDefault="00CE400C" w:rsidP="00CE400C">
      <w:pPr>
        <w:pStyle w:val="NormalWeb"/>
        <w:spacing w:before="0" w:beforeAutospacing="0" w:after="0" w:afterAutospacing="0"/>
        <w:jc w:val="both"/>
        <w:rPr>
          <w:rFonts w:ascii="Arial" w:hAnsi="Arial" w:cs="Arial"/>
          <w:b/>
          <w:bCs/>
          <w:caps/>
          <w:color w:val="376889"/>
          <w:sz w:val="21"/>
          <w:szCs w:val="21"/>
        </w:rPr>
      </w:pPr>
    </w:p>
    <w:p w:rsidR="008C4219" w:rsidRDefault="008C4219" w:rsidP="008C4219">
      <w:pPr>
        <w:pStyle w:val="NormalWeb"/>
        <w:spacing w:before="0" w:beforeAutospacing="0" w:after="0" w:afterAutospacing="0"/>
        <w:jc w:val="both"/>
        <w:rPr>
          <w:rFonts w:ascii="Arial" w:hAnsi="Arial" w:cs="Arial"/>
          <w:b/>
          <w:bCs/>
          <w:caps/>
          <w:color w:val="376889"/>
        </w:rPr>
      </w:pPr>
      <w:r w:rsidRPr="00CE400C">
        <w:rPr>
          <w:rFonts w:ascii="Arial" w:hAnsi="Arial" w:cs="Arial"/>
          <w:b/>
          <w:bCs/>
          <w:caps/>
          <w:color w:val="002F5D"/>
        </w:rPr>
        <w:t>LEGISLACION</w:t>
      </w:r>
      <w:r w:rsidRPr="00CE400C">
        <w:rPr>
          <w:rFonts w:ascii="Arial" w:hAnsi="Arial" w:cs="Arial"/>
          <w:b/>
          <w:bCs/>
          <w:caps/>
          <w:color w:val="376889"/>
        </w:rPr>
        <w:t xml:space="preserve"> </w:t>
      </w:r>
    </w:p>
    <w:p w:rsidR="008C4219" w:rsidRDefault="008C4219" w:rsidP="005E1EC9">
      <w:pPr>
        <w:pStyle w:val="NormalWeb"/>
        <w:spacing w:before="0" w:beforeAutospacing="0" w:after="0" w:afterAutospacing="0"/>
        <w:jc w:val="both"/>
        <w:rPr>
          <w:rFonts w:ascii="Arial" w:hAnsi="Arial" w:cs="Arial"/>
          <w:b/>
          <w:bCs/>
          <w:caps/>
          <w:color w:val="002F5D"/>
          <w:sz w:val="21"/>
          <w:szCs w:val="21"/>
        </w:rPr>
      </w:pPr>
    </w:p>
    <w:p w:rsidR="009A4981" w:rsidRDefault="009A4981" w:rsidP="009A4981">
      <w:pPr>
        <w:pStyle w:val="NormalWeb"/>
        <w:spacing w:before="0" w:beforeAutospacing="0" w:after="0" w:afterAutospacing="0"/>
        <w:jc w:val="both"/>
        <w:rPr>
          <w:rFonts w:ascii="Arial" w:hAnsi="Arial" w:cs="Arial"/>
          <w:b/>
          <w:bCs/>
          <w:caps/>
          <w:color w:val="376889"/>
          <w:sz w:val="21"/>
          <w:szCs w:val="21"/>
        </w:rPr>
      </w:pPr>
      <w:r w:rsidRPr="009A4981">
        <w:rPr>
          <w:rFonts w:ascii="Arial" w:hAnsi="Arial" w:cs="Arial"/>
          <w:b/>
          <w:bCs/>
          <w:caps/>
          <w:color w:val="002F5D"/>
          <w:sz w:val="21"/>
          <w:szCs w:val="21"/>
        </w:rPr>
        <w:t>Ley de solidaridad social y reactivación productiva</w:t>
      </w:r>
      <w:r>
        <w:rPr>
          <w:rFonts w:ascii="Arial" w:hAnsi="Arial" w:cs="Arial"/>
          <w:b/>
          <w:bCs/>
          <w:caps/>
          <w:color w:val="002F5D"/>
          <w:sz w:val="21"/>
          <w:szCs w:val="21"/>
        </w:rPr>
        <w:t xml:space="preserve"> - </w:t>
      </w:r>
      <w:r w:rsidRPr="009A4981">
        <w:rPr>
          <w:rFonts w:ascii="Arial" w:hAnsi="Arial" w:cs="Arial"/>
          <w:b/>
          <w:bCs/>
          <w:caps/>
          <w:color w:val="002F5D"/>
          <w:sz w:val="21"/>
          <w:szCs w:val="21"/>
        </w:rPr>
        <w:t>ley 27541</w:t>
      </w:r>
    </w:p>
    <w:p w:rsidR="00963E21" w:rsidRDefault="00963E21" w:rsidP="0088157D">
      <w:pPr>
        <w:pStyle w:val="NormalWeb"/>
        <w:spacing w:before="0" w:beforeAutospacing="0" w:after="0" w:afterAutospacing="0"/>
        <w:jc w:val="both"/>
        <w:rPr>
          <w:rFonts w:ascii="Arial" w:hAnsi="Arial" w:cs="Arial"/>
          <w:b/>
          <w:bCs/>
          <w:caps/>
          <w:color w:val="002F5D"/>
          <w:sz w:val="21"/>
          <w:szCs w:val="21"/>
        </w:rPr>
      </w:pPr>
    </w:p>
    <w:p w:rsidR="009A4981" w:rsidRPr="009A4981" w:rsidRDefault="009A4981" w:rsidP="009A4981">
      <w:pPr>
        <w:pStyle w:val="textonovedades"/>
        <w:rPr>
          <w:rFonts w:ascii="Arial" w:hAnsi="Arial" w:cs="Arial"/>
          <w:b/>
          <w:bCs/>
          <w:color w:val="666666"/>
          <w:sz w:val="20"/>
          <w:szCs w:val="20"/>
          <w:lang w:val="es-ES" w:eastAsia="es-ES"/>
        </w:rPr>
      </w:pPr>
      <w:r w:rsidRPr="009A4981">
        <w:rPr>
          <w:rFonts w:ascii="Arial" w:hAnsi="Arial" w:cs="Arial"/>
          <w:b/>
          <w:bCs/>
          <w:color w:val="666666"/>
          <w:sz w:val="20"/>
          <w:szCs w:val="20"/>
          <w:lang w:val="es-ES" w:eastAsia="es-ES"/>
        </w:rPr>
        <w:t>Los aspectos principales:</w:t>
      </w:r>
    </w:p>
    <w:p w:rsidR="009A4981" w:rsidRPr="008B32BE" w:rsidRDefault="009A4981" w:rsidP="009A4981">
      <w:pPr>
        <w:pStyle w:val="textonovedades"/>
        <w:rPr>
          <w:rStyle w:val="negritanovedades"/>
          <w:rFonts w:ascii="Arial" w:hAnsi="Arial" w:cs="Arial"/>
          <w:color w:val="666666"/>
          <w:sz w:val="20"/>
          <w:szCs w:val="20"/>
        </w:rPr>
      </w:pPr>
      <w:r w:rsidRPr="008B32BE">
        <w:rPr>
          <w:rStyle w:val="Textoennegrita"/>
          <w:rFonts w:ascii="Arial" w:hAnsi="Arial" w:cs="Arial"/>
          <w:color w:val="666666"/>
          <w:sz w:val="20"/>
          <w:szCs w:val="20"/>
        </w:rPr>
        <w:t xml:space="preserve">- </w:t>
      </w:r>
      <w:r w:rsidRPr="008B32BE">
        <w:rPr>
          <w:rStyle w:val="Textoennegrita"/>
          <w:rFonts w:ascii="Arial" w:hAnsi="Arial" w:cs="Arial"/>
          <w:color w:val="666666"/>
          <w:sz w:val="20"/>
          <w:szCs w:val="20"/>
          <w:u w:val="single"/>
        </w:rPr>
        <w:t>Moratoria para pymes</w:t>
      </w:r>
      <w:r w:rsidRPr="008B32BE">
        <w:rPr>
          <w:rStyle w:val="negritanovedades"/>
          <w:rFonts w:ascii="Arial" w:hAnsi="Arial" w:cs="Arial"/>
          <w:color w:val="666666"/>
          <w:sz w:val="20"/>
          <w:szCs w:val="20"/>
        </w:rPr>
        <w:t xml:space="preserve"> </w:t>
      </w:r>
    </w:p>
    <w:p w:rsidR="009A4981" w:rsidRDefault="009A4981" w:rsidP="00551A1F">
      <w:pPr>
        <w:pStyle w:val="textonovedades"/>
        <w:spacing w:line="360" w:lineRule="auto"/>
        <w:rPr>
          <w:rFonts w:ascii="Arial" w:hAnsi="Arial" w:cs="Arial"/>
          <w:color w:val="666666"/>
          <w:sz w:val="20"/>
          <w:szCs w:val="20"/>
        </w:rPr>
      </w:pPr>
      <w:r>
        <w:rPr>
          <w:rStyle w:val="negritanovedades"/>
          <w:rFonts w:ascii="Arial" w:hAnsi="Arial" w:cs="Arial"/>
          <w:color w:val="666666"/>
          <w:sz w:val="20"/>
          <w:szCs w:val="20"/>
        </w:rPr>
        <w:t>Se establece la posibilidad de regularizar obligaciones tributarias, de la seguridad social y aduaneras para pymes, por obligaciones vencidas hasta el 30/11/2019.</w:t>
      </w:r>
      <w:r>
        <w:rPr>
          <w:rFonts w:ascii="Arial" w:hAnsi="Arial" w:cs="Arial"/>
          <w:color w:val="666666"/>
          <w:sz w:val="20"/>
          <w:szCs w:val="20"/>
        </w:rPr>
        <w:br/>
      </w:r>
      <w:r>
        <w:rPr>
          <w:rStyle w:val="negritanovedades"/>
          <w:rFonts w:ascii="Arial" w:hAnsi="Arial" w:cs="Arial"/>
          <w:color w:val="666666"/>
          <w:sz w:val="20"/>
          <w:szCs w:val="20"/>
        </w:rPr>
        <w:t>Se podrán acoger al plan hasta el 30/4/2020, y el mismo prevé -según el tipo de deuda de que se trate- financiación en hasta 120 cuotas, con quita de multas e intereses.</w:t>
      </w:r>
    </w:p>
    <w:p w:rsidR="008B32BE" w:rsidRDefault="009A4981" w:rsidP="009A4981">
      <w:pPr>
        <w:pStyle w:val="textonovedades"/>
        <w:rPr>
          <w:rStyle w:val="negritanovedades"/>
          <w:rFonts w:ascii="Arial" w:hAnsi="Arial" w:cs="Arial"/>
          <w:color w:val="666666"/>
          <w:sz w:val="20"/>
          <w:szCs w:val="20"/>
        </w:rPr>
      </w:pPr>
      <w:r>
        <w:rPr>
          <w:rStyle w:val="Textoennegrita"/>
          <w:rFonts w:ascii="Arial" w:hAnsi="Arial" w:cs="Arial"/>
          <w:color w:val="666666"/>
        </w:rPr>
        <w:t xml:space="preserve">- </w:t>
      </w:r>
      <w:r w:rsidRPr="008B32BE">
        <w:rPr>
          <w:rStyle w:val="Textoennegrita"/>
          <w:rFonts w:ascii="Arial" w:hAnsi="Arial" w:cs="Arial"/>
          <w:color w:val="666666"/>
          <w:sz w:val="20"/>
          <w:szCs w:val="20"/>
          <w:u w:val="single"/>
        </w:rPr>
        <w:t>Bienes personales</w:t>
      </w:r>
      <w:r>
        <w:rPr>
          <w:rStyle w:val="negritanovedades"/>
          <w:rFonts w:ascii="Arial" w:hAnsi="Arial" w:cs="Arial"/>
          <w:color w:val="666666"/>
          <w:sz w:val="20"/>
          <w:szCs w:val="20"/>
        </w:rPr>
        <w:t xml:space="preserve"> </w:t>
      </w:r>
    </w:p>
    <w:p w:rsidR="008B32BE" w:rsidRDefault="009A4981" w:rsidP="00551A1F">
      <w:pPr>
        <w:pStyle w:val="textonovedades"/>
        <w:spacing w:line="360" w:lineRule="auto"/>
        <w:rPr>
          <w:rStyle w:val="negritanovedades"/>
          <w:rFonts w:ascii="Arial" w:hAnsi="Arial" w:cs="Arial"/>
          <w:color w:val="666666"/>
          <w:sz w:val="20"/>
          <w:szCs w:val="20"/>
        </w:rPr>
      </w:pPr>
      <w:r>
        <w:rPr>
          <w:rStyle w:val="negritanovedades"/>
          <w:rFonts w:ascii="Arial" w:hAnsi="Arial" w:cs="Arial"/>
          <w:color w:val="666666"/>
          <w:sz w:val="20"/>
          <w:szCs w:val="20"/>
        </w:rPr>
        <w:t>- A los fines del impuesto se deja sin efecto el criterio de domicilio y se reemplaza por el de residencia.</w:t>
      </w:r>
    </w:p>
    <w:p w:rsidR="009A4981" w:rsidRDefault="009A4981" w:rsidP="00551A1F">
      <w:pPr>
        <w:pStyle w:val="textonovedades"/>
        <w:spacing w:line="360" w:lineRule="auto"/>
        <w:rPr>
          <w:rStyle w:val="negritanovedades"/>
          <w:rFonts w:ascii="Arial" w:hAnsi="Arial" w:cs="Arial"/>
          <w:color w:val="666666"/>
          <w:sz w:val="20"/>
          <w:szCs w:val="20"/>
        </w:rPr>
      </w:pPr>
      <w:r>
        <w:rPr>
          <w:rStyle w:val="negritanovedades"/>
          <w:rFonts w:ascii="Arial" w:hAnsi="Arial" w:cs="Arial"/>
          <w:color w:val="666666"/>
          <w:sz w:val="20"/>
          <w:szCs w:val="20"/>
        </w:rPr>
        <w:t>- Se establece el siguiente esquema de alícuotas progresivas que varían entre el 0,50% y el 1,25%, según la magnitud de los bienes sujetos a imposición del contribuyente:</w:t>
      </w:r>
    </w:p>
    <w:p w:rsidR="008B32BE" w:rsidRDefault="008B32BE" w:rsidP="009A4981">
      <w:pPr>
        <w:pStyle w:val="textonovedades"/>
        <w:rPr>
          <w:rFonts w:ascii="Arial" w:hAnsi="Arial" w:cs="Arial"/>
          <w:color w:val="666666"/>
          <w:sz w:val="20"/>
          <w:szCs w:val="20"/>
        </w:rPr>
      </w:pPr>
    </w:p>
    <w:tbl>
      <w:tblPr>
        <w:tblW w:w="3718" w:type="pct"/>
        <w:tblCellMar>
          <w:left w:w="0" w:type="dxa"/>
          <w:right w:w="0" w:type="dxa"/>
        </w:tblCellMar>
        <w:tblLook w:val="04A0"/>
      </w:tblPr>
      <w:tblGrid>
        <w:gridCol w:w="1506"/>
        <w:gridCol w:w="1507"/>
        <w:gridCol w:w="1205"/>
        <w:gridCol w:w="971"/>
        <w:gridCol w:w="1507"/>
      </w:tblGrid>
      <w:tr w:rsidR="009A4981" w:rsidTr="008B32BE">
        <w:trPr>
          <w:trHeight w:val="674"/>
        </w:trPr>
        <w:tc>
          <w:tcPr>
            <w:tcW w:w="3014" w:type="dxa"/>
            <w:gridSpan w:val="2"/>
            <w:tcBorders>
              <w:top w:val="single" w:sz="12" w:space="0" w:color="auto"/>
              <w:left w:val="single" w:sz="12" w:space="0" w:color="auto"/>
              <w:bottom w:val="single" w:sz="8" w:space="0" w:color="auto"/>
              <w:right w:val="single" w:sz="8" w:space="0" w:color="auto"/>
            </w:tcBorders>
            <w:shd w:val="clear" w:color="auto" w:fill="A6A6A6"/>
            <w:tcMar>
              <w:top w:w="0" w:type="dxa"/>
              <w:left w:w="108" w:type="dxa"/>
              <w:bottom w:w="0" w:type="dxa"/>
              <w:right w:w="108" w:type="dxa"/>
            </w:tcMar>
            <w:vAlign w:val="center"/>
            <w:hideMark/>
          </w:tcPr>
          <w:p w:rsidR="009A4981" w:rsidRDefault="009A4981" w:rsidP="009A4981">
            <w:pPr>
              <w:pStyle w:val="tablacentrado8"/>
              <w:jc w:val="center"/>
            </w:pPr>
            <w:r>
              <w:rPr>
                <w:rStyle w:val="negritanovedades"/>
                <w:rFonts w:ascii="Arial" w:hAnsi="Arial" w:cs="Arial"/>
                <w:b w:val="0"/>
                <w:bCs w:val="0"/>
                <w:sz w:val="20"/>
                <w:szCs w:val="20"/>
              </w:rPr>
              <w:t xml:space="preserve">Valor total de los bienes que exceda el mínimo no imponible </w:t>
            </w:r>
          </w:p>
        </w:tc>
        <w:tc>
          <w:tcPr>
            <w:tcW w:w="1205" w:type="dxa"/>
            <w:tcBorders>
              <w:top w:val="single" w:sz="12" w:space="0" w:color="auto"/>
              <w:left w:val="nil"/>
              <w:bottom w:val="single" w:sz="8" w:space="0" w:color="auto"/>
              <w:right w:val="single" w:sz="8" w:space="0" w:color="auto"/>
            </w:tcBorders>
            <w:shd w:val="clear" w:color="auto" w:fill="A6A6A6"/>
            <w:tcMar>
              <w:top w:w="0" w:type="dxa"/>
              <w:left w:w="108" w:type="dxa"/>
              <w:bottom w:w="0" w:type="dxa"/>
              <w:right w:w="108" w:type="dxa"/>
            </w:tcMar>
            <w:vAlign w:val="center"/>
            <w:hideMark/>
          </w:tcPr>
          <w:p w:rsidR="009A4981" w:rsidRDefault="009A4981" w:rsidP="009A4981">
            <w:pPr>
              <w:pStyle w:val="tablacentrado8"/>
              <w:jc w:val="center"/>
            </w:pPr>
            <w:r>
              <w:rPr>
                <w:rStyle w:val="negritanovedades"/>
                <w:rFonts w:ascii="Arial" w:hAnsi="Arial" w:cs="Arial"/>
                <w:b w:val="0"/>
                <w:bCs w:val="0"/>
                <w:sz w:val="20"/>
                <w:szCs w:val="20"/>
              </w:rPr>
              <w:t>Pagarán</w:t>
            </w:r>
            <w:r>
              <w:rPr>
                <w:rFonts w:ascii="Arial" w:hAnsi="Arial" w:cs="Arial"/>
                <w:b/>
                <w:bCs/>
                <w:sz w:val="20"/>
                <w:szCs w:val="20"/>
              </w:rPr>
              <w:br/>
            </w:r>
            <w:r>
              <w:rPr>
                <w:rStyle w:val="negritanovedades"/>
                <w:rFonts w:ascii="Arial" w:hAnsi="Arial" w:cs="Arial"/>
                <w:b w:val="0"/>
                <w:bCs w:val="0"/>
                <w:sz w:val="20"/>
                <w:szCs w:val="20"/>
              </w:rPr>
              <w:t xml:space="preserve">$ </w:t>
            </w:r>
          </w:p>
        </w:tc>
        <w:tc>
          <w:tcPr>
            <w:tcW w:w="971" w:type="dxa"/>
            <w:tcBorders>
              <w:top w:val="single" w:sz="12" w:space="0" w:color="auto"/>
              <w:left w:val="nil"/>
              <w:bottom w:val="single" w:sz="8" w:space="0" w:color="auto"/>
              <w:right w:val="single" w:sz="8" w:space="0" w:color="auto"/>
            </w:tcBorders>
            <w:shd w:val="clear" w:color="auto" w:fill="A6A6A6"/>
            <w:tcMar>
              <w:top w:w="0" w:type="dxa"/>
              <w:left w:w="108" w:type="dxa"/>
              <w:bottom w:w="0" w:type="dxa"/>
              <w:right w:w="108" w:type="dxa"/>
            </w:tcMar>
            <w:vAlign w:val="center"/>
            <w:hideMark/>
          </w:tcPr>
          <w:p w:rsidR="009A4981" w:rsidRDefault="009A4981" w:rsidP="009A4981">
            <w:pPr>
              <w:pStyle w:val="tablacentrado8"/>
              <w:jc w:val="center"/>
            </w:pPr>
            <w:r>
              <w:rPr>
                <w:rStyle w:val="negritanovedades"/>
                <w:rFonts w:ascii="Arial" w:hAnsi="Arial" w:cs="Arial"/>
                <w:b w:val="0"/>
                <w:bCs w:val="0"/>
                <w:sz w:val="20"/>
                <w:szCs w:val="20"/>
              </w:rPr>
              <w:t xml:space="preserve">Más el % </w:t>
            </w:r>
          </w:p>
        </w:tc>
        <w:tc>
          <w:tcPr>
            <w:tcW w:w="1507" w:type="dxa"/>
            <w:tcBorders>
              <w:top w:val="single" w:sz="12" w:space="0" w:color="auto"/>
              <w:left w:val="nil"/>
              <w:bottom w:val="single" w:sz="8" w:space="0" w:color="auto"/>
              <w:right w:val="single" w:sz="12" w:space="0" w:color="auto"/>
            </w:tcBorders>
            <w:shd w:val="clear" w:color="auto" w:fill="A6A6A6"/>
            <w:tcMar>
              <w:top w:w="0" w:type="dxa"/>
              <w:left w:w="108" w:type="dxa"/>
              <w:bottom w:w="0" w:type="dxa"/>
              <w:right w:w="108" w:type="dxa"/>
            </w:tcMar>
            <w:vAlign w:val="center"/>
            <w:hideMark/>
          </w:tcPr>
          <w:p w:rsidR="009A4981" w:rsidRDefault="009A4981" w:rsidP="009A4981">
            <w:pPr>
              <w:pStyle w:val="tablacentrado8"/>
              <w:jc w:val="center"/>
            </w:pPr>
            <w:r>
              <w:rPr>
                <w:rStyle w:val="negritanovedades"/>
                <w:rFonts w:ascii="Arial" w:hAnsi="Arial" w:cs="Arial"/>
                <w:b w:val="0"/>
                <w:bCs w:val="0"/>
                <w:sz w:val="20"/>
                <w:szCs w:val="20"/>
              </w:rPr>
              <w:t xml:space="preserve">Sobre el excedente de $ </w:t>
            </w:r>
          </w:p>
        </w:tc>
      </w:tr>
      <w:tr w:rsidR="009A4981" w:rsidTr="008B32BE">
        <w:trPr>
          <w:trHeight w:val="557"/>
        </w:trPr>
        <w:tc>
          <w:tcPr>
            <w:tcW w:w="1507"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9A4981" w:rsidRDefault="009A4981" w:rsidP="009A4981">
            <w:pPr>
              <w:pStyle w:val="tablacentrado8"/>
              <w:jc w:val="center"/>
            </w:pPr>
            <w:r>
              <w:rPr>
                <w:rStyle w:val="Textoennegrita"/>
                <w:rFonts w:ascii="Arial" w:hAnsi="Arial" w:cs="Arial"/>
              </w:rPr>
              <w:t xml:space="preserve">Más de $ </w:t>
            </w:r>
          </w:p>
        </w:tc>
        <w:tc>
          <w:tcPr>
            <w:tcW w:w="1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4981" w:rsidRDefault="009A4981" w:rsidP="009A4981">
            <w:pPr>
              <w:pStyle w:val="tablacentrado8"/>
              <w:jc w:val="center"/>
            </w:pPr>
            <w:r>
              <w:rPr>
                <w:rStyle w:val="Textoennegrita"/>
                <w:rFonts w:ascii="Arial" w:hAnsi="Arial" w:cs="Arial"/>
              </w:rPr>
              <w:t xml:space="preserve">a $ </w:t>
            </w:r>
          </w:p>
        </w:tc>
        <w:tc>
          <w:tcPr>
            <w:tcW w:w="3682" w:type="dxa"/>
            <w:gridSpan w:val="3"/>
            <w:tcBorders>
              <w:top w:val="nil"/>
              <w:left w:val="nil"/>
              <w:bottom w:val="single" w:sz="8" w:space="0" w:color="auto"/>
              <w:right w:val="single" w:sz="12" w:space="0" w:color="auto"/>
            </w:tcBorders>
            <w:tcMar>
              <w:top w:w="57" w:type="dxa"/>
              <w:left w:w="57" w:type="dxa"/>
              <w:bottom w:w="57" w:type="dxa"/>
              <w:right w:w="57" w:type="dxa"/>
            </w:tcMar>
            <w:vAlign w:val="center"/>
            <w:hideMark/>
          </w:tcPr>
          <w:p w:rsidR="009A4981" w:rsidRDefault="009A4981" w:rsidP="009A4981">
            <w:pPr>
              <w:rPr>
                <w:rFonts w:eastAsia="Times New Roman"/>
              </w:rPr>
            </w:pPr>
            <w:r>
              <w:rPr>
                <w:rFonts w:eastAsia="Times New Roman"/>
              </w:rPr>
              <w:t>  </w:t>
            </w:r>
          </w:p>
        </w:tc>
      </w:tr>
      <w:tr w:rsidR="009A4981" w:rsidTr="008B32BE">
        <w:trPr>
          <w:trHeight w:val="235"/>
        </w:trPr>
        <w:tc>
          <w:tcPr>
            <w:tcW w:w="1507"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9A4981" w:rsidRDefault="009A4981" w:rsidP="009A4981">
            <w:pPr>
              <w:pStyle w:val="tablacentrado8"/>
              <w:jc w:val="center"/>
            </w:pPr>
            <w:r>
              <w:rPr>
                <w:rFonts w:ascii="Arial" w:hAnsi="Arial" w:cs="Arial"/>
                <w:sz w:val="20"/>
                <w:szCs w:val="20"/>
              </w:rPr>
              <w:t xml:space="preserve">0 </w:t>
            </w:r>
          </w:p>
        </w:tc>
        <w:tc>
          <w:tcPr>
            <w:tcW w:w="1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4981" w:rsidRDefault="009A4981" w:rsidP="009A4981">
            <w:pPr>
              <w:pStyle w:val="tablacentrado8"/>
              <w:jc w:val="center"/>
            </w:pPr>
            <w:r>
              <w:rPr>
                <w:rFonts w:ascii="Arial" w:hAnsi="Arial" w:cs="Arial"/>
                <w:sz w:val="20"/>
                <w:szCs w:val="20"/>
              </w:rPr>
              <w:t xml:space="preserve">3.000.000 </w:t>
            </w: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4981" w:rsidRDefault="009A4981" w:rsidP="009A4981">
            <w:pPr>
              <w:pStyle w:val="tablacentrado8"/>
              <w:jc w:val="center"/>
            </w:pPr>
            <w:r>
              <w:rPr>
                <w:rFonts w:ascii="Arial" w:hAnsi="Arial" w:cs="Arial"/>
                <w:sz w:val="20"/>
                <w:szCs w:val="20"/>
              </w:rPr>
              <w:t xml:space="preserve">0 </w:t>
            </w:r>
          </w:p>
        </w:tc>
        <w:tc>
          <w:tcPr>
            <w:tcW w:w="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4981" w:rsidRDefault="009A4981" w:rsidP="009A4981">
            <w:pPr>
              <w:pStyle w:val="tablacentrado8"/>
              <w:jc w:val="center"/>
            </w:pPr>
            <w:r>
              <w:rPr>
                <w:rFonts w:ascii="Arial" w:hAnsi="Arial" w:cs="Arial"/>
                <w:sz w:val="20"/>
                <w:szCs w:val="20"/>
              </w:rPr>
              <w:t xml:space="preserve">0,50% </w:t>
            </w:r>
          </w:p>
        </w:tc>
        <w:tc>
          <w:tcPr>
            <w:tcW w:w="1507"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9A4981" w:rsidRDefault="009A4981" w:rsidP="009A4981">
            <w:pPr>
              <w:pStyle w:val="tablacentrado8"/>
              <w:jc w:val="center"/>
            </w:pPr>
            <w:r>
              <w:rPr>
                <w:rFonts w:ascii="Arial" w:hAnsi="Arial" w:cs="Arial"/>
                <w:sz w:val="20"/>
                <w:szCs w:val="20"/>
              </w:rPr>
              <w:t xml:space="preserve">0 </w:t>
            </w:r>
          </w:p>
        </w:tc>
      </w:tr>
      <w:tr w:rsidR="009A4981" w:rsidTr="008B32BE">
        <w:trPr>
          <w:trHeight w:val="235"/>
        </w:trPr>
        <w:tc>
          <w:tcPr>
            <w:tcW w:w="1507"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9A4981" w:rsidRDefault="009A4981" w:rsidP="009A4981">
            <w:pPr>
              <w:pStyle w:val="tablacentrado8"/>
              <w:jc w:val="center"/>
            </w:pPr>
            <w:r>
              <w:rPr>
                <w:rFonts w:ascii="Arial" w:hAnsi="Arial" w:cs="Arial"/>
                <w:sz w:val="20"/>
                <w:szCs w:val="20"/>
              </w:rPr>
              <w:t xml:space="preserve">3.000.001 </w:t>
            </w:r>
          </w:p>
        </w:tc>
        <w:tc>
          <w:tcPr>
            <w:tcW w:w="1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4981" w:rsidRDefault="009A4981" w:rsidP="009A4981">
            <w:pPr>
              <w:pStyle w:val="tablacentrado8"/>
              <w:jc w:val="center"/>
            </w:pPr>
            <w:r>
              <w:rPr>
                <w:rFonts w:ascii="Arial" w:hAnsi="Arial" w:cs="Arial"/>
                <w:sz w:val="20"/>
                <w:szCs w:val="20"/>
              </w:rPr>
              <w:t xml:space="preserve">6.500.000 </w:t>
            </w: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4981" w:rsidRDefault="009A4981" w:rsidP="009A4981">
            <w:pPr>
              <w:pStyle w:val="tablacentrado8"/>
              <w:jc w:val="center"/>
            </w:pPr>
            <w:r>
              <w:rPr>
                <w:rFonts w:ascii="Arial" w:hAnsi="Arial" w:cs="Arial"/>
                <w:sz w:val="20"/>
                <w:szCs w:val="20"/>
              </w:rPr>
              <w:t xml:space="preserve">15.000 </w:t>
            </w:r>
          </w:p>
        </w:tc>
        <w:tc>
          <w:tcPr>
            <w:tcW w:w="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4981" w:rsidRDefault="009A4981" w:rsidP="009A4981">
            <w:pPr>
              <w:pStyle w:val="tablacentrado8"/>
              <w:jc w:val="center"/>
            </w:pPr>
            <w:r>
              <w:rPr>
                <w:rFonts w:ascii="Arial" w:hAnsi="Arial" w:cs="Arial"/>
                <w:sz w:val="20"/>
                <w:szCs w:val="20"/>
              </w:rPr>
              <w:t xml:space="preserve">0,75% </w:t>
            </w:r>
          </w:p>
        </w:tc>
        <w:tc>
          <w:tcPr>
            <w:tcW w:w="1507"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9A4981" w:rsidRDefault="009A4981" w:rsidP="009A4981">
            <w:pPr>
              <w:pStyle w:val="tablacentrado8"/>
              <w:jc w:val="center"/>
            </w:pPr>
            <w:r>
              <w:rPr>
                <w:rFonts w:ascii="Arial" w:hAnsi="Arial" w:cs="Arial"/>
                <w:sz w:val="20"/>
                <w:szCs w:val="20"/>
              </w:rPr>
              <w:t xml:space="preserve">3.000.000 </w:t>
            </w:r>
          </w:p>
        </w:tc>
      </w:tr>
      <w:tr w:rsidR="009A4981" w:rsidTr="008B32BE">
        <w:trPr>
          <w:trHeight w:val="235"/>
        </w:trPr>
        <w:tc>
          <w:tcPr>
            <w:tcW w:w="1507"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9A4981" w:rsidRDefault="009A4981" w:rsidP="009A4981">
            <w:pPr>
              <w:pStyle w:val="tablacentrado8"/>
              <w:jc w:val="center"/>
            </w:pPr>
            <w:r>
              <w:rPr>
                <w:rFonts w:ascii="Arial" w:hAnsi="Arial" w:cs="Arial"/>
                <w:sz w:val="20"/>
                <w:szCs w:val="20"/>
              </w:rPr>
              <w:t xml:space="preserve">6.500.001 </w:t>
            </w:r>
          </w:p>
        </w:tc>
        <w:tc>
          <w:tcPr>
            <w:tcW w:w="1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4981" w:rsidRDefault="009A4981" w:rsidP="009A4981">
            <w:pPr>
              <w:pStyle w:val="tablacentrado8"/>
              <w:jc w:val="center"/>
            </w:pPr>
            <w:r>
              <w:rPr>
                <w:rFonts w:ascii="Arial" w:hAnsi="Arial" w:cs="Arial"/>
                <w:sz w:val="20"/>
                <w:szCs w:val="20"/>
              </w:rPr>
              <w:t xml:space="preserve">18.000.000 </w:t>
            </w: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4981" w:rsidRDefault="009A4981" w:rsidP="009A4981">
            <w:pPr>
              <w:pStyle w:val="tablacentrado8"/>
              <w:jc w:val="center"/>
            </w:pPr>
            <w:r>
              <w:rPr>
                <w:rFonts w:ascii="Arial" w:hAnsi="Arial" w:cs="Arial"/>
                <w:sz w:val="20"/>
                <w:szCs w:val="20"/>
              </w:rPr>
              <w:t xml:space="preserve">41.250 </w:t>
            </w:r>
          </w:p>
        </w:tc>
        <w:tc>
          <w:tcPr>
            <w:tcW w:w="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4981" w:rsidRDefault="009A4981" w:rsidP="009A4981">
            <w:pPr>
              <w:pStyle w:val="tablacentrado8"/>
              <w:jc w:val="center"/>
            </w:pPr>
            <w:r>
              <w:rPr>
                <w:rFonts w:ascii="Arial" w:hAnsi="Arial" w:cs="Arial"/>
                <w:sz w:val="20"/>
                <w:szCs w:val="20"/>
              </w:rPr>
              <w:t xml:space="preserve">1,00% </w:t>
            </w:r>
          </w:p>
        </w:tc>
        <w:tc>
          <w:tcPr>
            <w:tcW w:w="1507"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9A4981" w:rsidRDefault="009A4981" w:rsidP="009A4981">
            <w:pPr>
              <w:pStyle w:val="tablacentrado8"/>
              <w:jc w:val="center"/>
            </w:pPr>
            <w:r>
              <w:rPr>
                <w:rFonts w:ascii="Arial" w:hAnsi="Arial" w:cs="Arial"/>
                <w:sz w:val="20"/>
                <w:szCs w:val="20"/>
              </w:rPr>
              <w:t xml:space="preserve">6.500.000 </w:t>
            </w:r>
          </w:p>
        </w:tc>
      </w:tr>
      <w:tr w:rsidR="009A4981" w:rsidTr="008B32BE">
        <w:trPr>
          <w:trHeight w:val="454"/>
        </w:trPr>
        <w:tc>
          <w:tcPr>
            <w:tcW w:w="1507"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9A4981" w:rsidRDefault="009A4981" w:rsidP="009A4981">
            <w:pPr>
              <w:pStyle w:val="tablacentrado8"/>
              <w:jc w:val="center"/>
            </w:pPr>
            <w:r>
              <w:rPr>
                <w:rFonts w:ascii="Arial" w:hAnsi="Arial" w:cs="Arial"/>
                <w:sz w:val="20"/>
                <w:szCs w:val="20"/>
              </w:rPr>
              <w:t xml:space="preserve">18.000.001 </w:t>
            </w:r>
          </w:p>
        </w:tc>
        <w:tc>
          <w:tcPr>
            <w:tcW w:w="1507"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9A4981" w:rsidRDefault="009A4981" w:rsidP="009A4981">
            <w:pPr>
              <w:pStyle w:val="tablacentrado8"/>
              <w:jc w:val="center"/>
            </w:pPr>
            <w:r>
              <w:rPr>
                <w:rFonts w:ascii="Arial" w:hAnsi="Arial" w:cs="Arial"/>
                <w:sz w:val="20"/>
                <w:szCs w:val="20"/>
              </w:rPr>
              <w:t>en adelante</w:t>
            </w:r>
          </w:p>
        </w:tc>
        <w:tc>
          <w:tcPr>
            <w:tcW w:w="1205"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9A4981" w:rsidRDefault="009A4981" w:rsidP="009A4981">
            <w:pPr>
              <w:pStyle w:val="tablacentrado8"/>
              <w:jc w:val="center"/>
            </w:pPr>
            <w:r>
              <w:rPr>
                <w:rFonts w:ascii="Arial" w:hAnsi="Arial" w:cs="Arial"/>
                <w:sz w:val="20"/>
                <w:szCs w:val="20"/>
              </w:rPr>
              <w:t>156.250</w:t>
            </w:r>
          </w:p>
        </w:tc>
        <w:tc>
          <w:tcPr>
            <w:tcW w:w="971"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9A4981" w:rsidRDefault="009A4981" w:rsidP="009A4981">
            <w:pPr>
              <w:pStyle w:val="tablacentrado8"/>
              <w:jc w:val="center"/>
            </w:pPr>
            <w:r>
              <w:rPr>
                <w:rFonts w:ascii="Arial" w:hAnsi="Arial" w:cs="Arial"/>
                <w:sz w:val="20"/>
                <w:szCs w:val="20"/>
              </w:rPr>
              <w:t xml:space="preserve">1,25% </w:t>
            </w:r>
          </w:p>
        </w:tc>
        <w:tc>
          <w:tcPr>
            <w:tcW w:w="1507"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rsidR="009A4981" w:rsidRDefault="009A4981" w:rsidP="009A4981">
            <w:pPr>
              <w:pStyle w:val="tablacentrado8"/>
              <w:jc w:val="center"/>
            </w:pPr>
            <w:r>
              <w:rPr>
                <w:rFonts w:ascii="Arial" w:hAnsi="Arial" w:cs="Arial"/>
                <w:sz w:val="20"/>
                <w:szCs w:val="20"/>
              </w:rPr>
              <w:t>18.000.000</w:t>
            </w:r>
          </w:p>
        </w:tc>
      </w:tr>
    </w:tbl>
    <w:p w:rsidR="009A4981" w:rsidRPr="008B32BE" w:rsidRDefault="009A4981" w:rsidP="00551A1F">
      <w:pPr>
        <w:pStyle w:val="contenido"/>
        <w:spacing w:line="360" w:lineRule="auto"/>
        <w:jc w:val="both"/>
        <w:rPr>
          <w:rStyle w:val="negritanovedades"/>
          <w:lang w:val="es-AR" w:eastAsia="es-AR"/>
        </w:rPr>
      </w:pPr>
      <w:r w:rsidRPr="008B32BE">
        <w:rPr>
          <w:rStyle w:val="negritanovedades"/>
          <w:rFonts w:ascii="Arial" w:hAnsi="Arial" w:cs="Arial"/>
          <w:color w:val="666666"/>
          <w:sz w:val="20"/>
          <w:szCs w:val="20"/>
          <w:lang w:val="es-AR" w:eastAsia="es-AR"/>
        </w:rPr>
        <w:t>Se delega al Poder Ejecutivo Nacional la facultad de fijar alícuotas diferenciales superiores hasta un 100% sobre la tasa máxima expuesta en el cuadro precedente, para gravar los bienes situados en el exterior. En caso de verificarse la repatriación de dichos bienes, esta sobretasa se podrá disminuir</w:t>
      </w:r>
      <w:r w:rsidR="00551A1F">
        <w:rPr>
          <w:rStyle w:val="negritanovedades"/>
          <w:lang w:val="es-AR" w:eastAsia="es-AR"/>
        </w:rPr>
        <w:t>.</w:t>
      </w:r>
    </w:p>
    <w:p w:rsidR="008B32BE" w:rsidRDefault="009A4981" w:rsidP="009A4981">
      <w:pPr>
        <w:pStyle w:val="contenido"/>
        <w:jc w:val="both"/>
        <w:rPr>
          <w:rStyle w:val="Textoennegrita"/>
          <w:rFonts w:ascii="Arial" w:hAnsi="Arial" w:cs="Arial"/>
          <w:color w:val="666666"/>
          <w:sz w:val="20"/>
          <w:szCs w:val="20"/>
          <w:u w:val="single"/>
          <w:lang w:val="es-AR" w:eastAsia="es-AR"/>
        </w:rPr>
      </w:pPr>
      <w:r>
        <w:rPr>
          <w:rStyle w:val="Textoennegrita"/>
          <w:rFonts w:ascii="Arial" w:hAnsi="Arial" w:cs="Arial"/>
          <w:color w:val="666666"/>
        </w:rPr>
        <w:t xml:space="preserve">- </w:t>
      </w:r>
      <w:r w:rsidRPr="008B32BE">
        <w:rPr>
          <w:rStyle w:val="Textoennegrita"/>
          <w:rFonts w:ascii="Arial" w:hAnsi="Arial" w:cs="Arial"/>
          <w:color w:val="666666"/>
          <w:sz w:val="20"/>
          <w:szCs w:val="20"/>
          <w:u w:val="single"/>
          <w:lang w:val="es-AR" w:eastAsia="es-AR"/>
        </w:rPr>
        <w:t>Retenciones a la exportación</w:t>
      </w:r>
    </w:p>
    <w:p w:rsidR="009A4981" w:rsidRPr="008B32BE" w:rsidRDefault="009A4981" w:rsidP="009A4981">
      <w:pPr>
        <w:pStyle w:val="contenido"/>
        <w:jc w:val="both"/>
        <w:rPr>
          <w:rStyle w:val="negritanovedades"/>
          <w:lang w:val="es-AR" w:eastAsia="es-AR"/>
        </w:rPr>
      </w:pPr>
      <w:r w:rsidRPr="008B32BE">
        <w:rPr>
          <w:rStyle w:val="negritanovedades"/>
          <w:rFonts w:ascii="Arial" w:hAnsi="Arial" w:cs="Arial"/>
          <w:color w:val="666666"/>
          <w:sz w:val="20"/>
          <w:szCs w:val="20"/>
          <w:lang w:val="es-AR" w:eastAsia="es-AR"/>
        </w:rPr>
        <w:t>Se plantean nuevas condiciones para las retenciones al campo</w:t>
      </w:r>
      <w:r w:rsidRPr="008B32BE">
        <w:rPr>
          <w:rStyle w:val="negritanovedades"/>
          <w:lang w:val="es-AR" w:eastAsia="es-AR"/>
        </w:rPr>
        <w:t>.</w:t>
      </w:r>
    </w:p>
    <w:p w:rsidR="008B32BE" w:rsidRDefault="009A4981" w:rsidP="009A4981">
      <w:pPr>
        <w:pStyle w:val="contenido"/>
        <w:jc w:val="both"/>
        <w:rPr>
          <w:rFonts w:ascii="Arial" w:hAnsi="Arial" w:cs="Arial"/>
          <w:color w:val="666666"/>
          <w:sz w:val="20"/>
          <w:szCs w:val="20"/>
        </w:rPr>
      </w:pPr>
      <w:r>
        <w:rPr>
          <w:rStyle w:val="Textoennegrita"/>
          <w:rFonts w:ascii="Arial" w:hAnsi="Arial" w:cs="Arial"/>
          <w:color w:val="666666"/>
        </w:rPr>
        <w:lastRenderedPageBreak/>
        <w:t xml:space="preserve">- </w:t>
      </w:r>
      <w:r w:rsidRPr="008B32BE">
        <w:rPr>
          <w:rStyle w:val="Textoennegrita"/>
          <w:rFonts w:ascii="Arial" w:hAnsi="Arial" w:cs="Arial"/>
          <w:color w:val="666666"/>
          <w:sz w:val="20"/>
          <w:szCs w:val="20"/>
          <w:u w:val="single"/>
          <w:lang w:val="es-AR" w:eastAsia="es-AR"/>
        </w:rPr>
        <w:t>Impuesto a las ganancias y cedular</w:t>
      </w:r>
      <w:r>
        <w:rPr>
          <w:rFonts w:ascii="Arial" w:hAnsi="Arial" w:cs="Arial"/>
          <w:color w:val="666666"/>
          <w:sz w:val="20"/>
          <w:szCs w:val="20"/>
        </w:rPr>
        <w:t xml:space="preserve"> </w:t>
      </w:r>
    </w:p>
    <w:p w:rsidR="008B32BE" w:rsidRDefault="009A4981" w:rsidP="00551A1F">
      <w:pPr>
        <w:pStyle w:val="contenido"/>
        <w:spacing w:line="360" w:lineRule="auto"/>
        <w:jc w:val="both"/>
        <w:rPr>
          <w:rStyle w:val="negritanovedades"/>
          <w:rFonts w:ascii="Arial" w:hAnsi="Arial" w:cs="Arial"/>
          <w:color w:val="666666"/>
          <w:sz w:val="20"/>
          <w:szCs w:val="20"/>
          <w:lang w:val="es-AR" w:eastAsia="es-AR"/>
        </w:rPr>
      </w:pPr>
      <w:r>
        <w:rPr>
          <w:rFonts w:ascii="Arial" w:hAnsi="Arial" w:cs="Arial"/>
          <w:color w:val="666666"/>
          <w:sz w:val="20"/>
          <w:szCs w:val="20"/>
        </w:rPr>
        <w:t xml:space="preserve">- </w:t>
      </w:r>
      <w:r w:rsidRPr="008B32BE">
        <w:rPr>
          <w:rStyle w:val="negritanovedades"/>
          <w:rFonts w:ascii="Arial" w:hAnsi="Arial" w:cs="Arial"/>
          <w:color w:val="666666"/>
          <w:sz w:val="20"/>
          <w:szCs w:val="20"/>
          <w:lang w:val="es-AR" w:eastAsia="es-AR"/>
        </w:rPr>
        <w:t>Se eximen en el año fiscal 2019 los intereses de plazo fijo en moneda nacional, títulos públicos y obligaciones negociables con oferta pública.</w:t>
      </w:r>
    </w:p>
    <w:p w:rsidR="008B32BE" w:rsidRDefault="009A4981" w:rsidP="00551A1F">
      <w:pPr>
        <w:pStyle w:val="contenido"/>
        <w:spacing w:line="360" w:lineRule="auto"/>
        <w:jc w:val="both"/>
        <w:rPr>
          <w:rStyle w:val="negritanovedades"/>
          <w:rFonts w:ascii="Arial" w:hAnsi="Arial" w:cs="Arial"/>
          <w:color w:val="666666"/>
          <w:sz w:val="20"/>
          <w:szCs w:val="20"/>
          <w:lang w:val="es-AR" w:eastAsia="es-AR"/>
        </w:rPr>
      </w:pPr>
      <w:r w:rsidRPr="008B32BE">
        <w:rPr>
          <w:rStyle w:val="negritanovedades"/>
          <w:rFonts w:ascii="Arial" w:hAnsi="Arial" w:cs="Arial"/>
          <w:color w:val="666666"/>
          <w:sz w:val="20"/>
          <w:szCs w:val="20"/>
          <w:lang w:val="es-AR" w:eastAsia="es-AR"/>
        </w:rPr>
        <w:t xml:space="preserve">- Para el año fiscal 2020, se deja sin efecto el impuesto cedular a la renta financiera, subsistiendo únicamente para operaciones de venta de acciones, cuotas y participaciones sociales y </w:t>
      </w:r>
      <w:proofErr w:type="spellStart"/>
      <w:r w:rsidRPr="008B32BE">
        <w:rPr>
          <w:rStyle w:val="negritanovedades"/>
          <w:rFonts w:ascii="Arial" w:hAnsi="Arial" w:cs="Arial"/>
          <w:color w:val="666666"/>
          <w:sz w:val="20"/>
          <w:szCs w:val="20"/>
          <w:lang w:val="es-AR" w:eastAsia="es-AR"/>
        </w:rPr>
        <w:t>cuotapartes</w:t>
      </w:r>
      <w:proofErr w:type="spellEnd"/>
      <w:r w:rsidRPr="008B32BE">
        <w:rPr>
          <w:rStyle w:val="negritanovedades"/>
          <w:rFonts w:ascii="Arial" w:hAnsi="Arial" w:cs="Arial"/>
          <w:color w:val="666666"/>
          <w:sz w:val="20"/>
          <w:szCs w:val="20"/>
          <w:lang w:val="es-AR" w:eastAsia="es-AR"/>
        </w:rPr>
        <w:t xml:space="preserve"> de condominio de fondos comunes de inversión cerrados, todos ellos sin cotización.</w:t>
      </w:r>
    </w:p>
    <w:p w:rsidR="009A4981" w:rsidRPr="008B32BE" w:rsidRDefault="009A4981" w:rsidP="00551A1F">
      <w:pPr>
        <w:pStyle w:val="contenido"/>
        <w:spacing w:line="360" w:lineRule="auto"/>
        <w:jc w:val="both"/>
        <w:rPr>
          <w:rStyle w:val="negritanovedades"/>
          <w:rFonts w:ascii="Arial" w:hAnsi="Arial" w:cs="Arial"/>
          <w:color w:val="666666"/>
          <w:sz w:val="20"/>
          <w:szCs w:val="20"/>
          <w:lang w:val="es-AR" w:eastAsia="es-AR"/>
        </w:rPr>
      </w:pPr>
      <w:r w:rsidRPr="008B32BE">
        <w:rPr>
          <w:rStyle w:val="negritanovedades"/>
          <w:rFonts w:ascii="Arial" w:hAnsi="Arial" w:cs="Arial"/>
          <w:color w:val="666666"/>
          <w:sz w:val="20"/>
          <w:szCs w:val="20"/>
          <w:lang w:val="es-AR" w:eastAsia="es-AR"/>
        </w:rPr>
        <w:t>- Se aprueba por ley para el período fiscal 2019, el beneficio establecido oportunamente por el decreto 561/2019 solo para empleados en relación de dependencia y jubilados, cuyo efecto resulta equivalente al incremento del 20% del mínimo no imponible y la deducción especial.</w:t>
      </w:r>
    </w:p>
    <w:p w:rsidR="008B32BE" w:rsidRDefault="009A4981" w:rsidP="009A4981">
      <w:pPr>
        <w:pStyle w:val="contenido"/>
        <w:jc w:val="both"/>
        <w:rPr>
          <w:rStyle w:val="Textoennegrita"/>
          <w:rFonts w:ascii="Arial" w:hAnsi="Arial" w:cs="Arial"/>
          <w:color w:val="666666"/>
          <w:sz w:val="20"/>
          <w:szCs w:val="20"/>
          <w:u w:val="single"/>
          <w:lang w:val="es-AR" w:eastAsia="es-AR"/>
        </w:rPr>
      </w:pPr>
      <w:r>
        <w:rPr>
          <w:rStyle w:val="Textoennegrita"/>
          <w:rFonts w:ascii="Arial" w:hAnsi="Arial" w:cs="Arial"/>
          <w:color w:val="666666"/>
        </w:rPr>
        <w:t> </w:t>
      </w:r>
      <w:r w:rsidRPr="008B32BE">
        <w:rPr>
          <w:rStyle w:val="Textoennegrita"/>
          <w:rFonts w:ascii="Arial" w:hAnsi="Arial" w:cs="Arial"/>
          <w:color w:val="666666"/>
          <w:sz w:val="20"/>
          <w:szCs w:val="20"/>
          <w:lang w:val="es-AR" w:eastAsia="es-AR"/>
        </w:rPr>
        <w:t xml:space="preserve">- </w:t>
      </w:r>
      <w:r w:rsidRPr="008B32BE">
        <w:rPr>
          <w:rStyle w:val="Textoennegrita"/>
          <w:rFonts w:ascii="Arial" w:hAnsi="Arial" w:cs="Arial"/>
          <w:color w:val="666666"/>
          <w:sz w:val="20"/>
          <w:szCs w:val="20"/>
          <w:u w:val="single"/>
          <w:lang w:val="es-AR" w:eastAsia="es-AR"/>
        </w:rPr>
        <w:t>Impuesto PAIS</w:t>
      </w:r>
    </w:p>
    <w:p w:rsidR="009A4981" w:rsidRPr="008B32BE" w:rsidRDefault="009A4981" w:rsidP="00551A1F">
      <w:pPr>
        <w:pStyle w:val="contenido"/>
        <w:spacing w:line="360" w:lineRule="auto"/>
        <w:jc w:val="both"/>
        <w:rPr>
          <w:rStyle w:val="negritanovedades"/>
          <w:lang w:val="es-AR" w:eastAsia="es-AR"/>
        </w:rPr>
      </w:pPr>
      <w:r w:rsidRPr="008B32BE">
        <w:rPr>
          <w:rStyle w:val="negritanovedades"/>
          <w:rFonts w:ascii="Arial" w:hAnsi="Arial" w:cs="Arial"/>
          <w:color w:val="666666"/>
          <w:sz w:val="20"/>
          <w:szCs w:val="20"/>
          <w:lang w:val="es-AR" w:eastAsia="es-AR"/>
        </w:rPr>
        <w:t>Se establece por un plazo de 5 años que las operaciones de compra de billetes y divisas del exterior sin un destino específico estarán gravadas con un impuesto del 30%. Este nuevo impuesto rige desde el 23/12/2019 y no podrá tomarse a cuenta como ocurría en el pasado</w:t>
      </w:r>
      <w:r w:rsidRPr="008B32BE">
        <w:rPr>
          <w:rStyle w:val="negritanovedades"/>
          <w:lang w:val="es-AR" w:eastAsia="es-AR"/>
        </w:rPr>
        <w:t>.</w:t>
      </w:r>
    </w:p>
    <w:p w:rsidR="008B32BE" w:rsidRDefault="009A4981" w:rsidP="009A4981">
      <w:pPr>
        <w:pStyle w:val="contenido"/>
        <w:jc w:val="both"/>
        <w:rPr>
          <w:rStyle w:val="Textoennegrita"/>
          <w:rFonts w:ascii="Arial" w:hAnsi="Arial" w:cs="Arial"/>
          <w:color w:val="666666"/>
          <w:sz w:val="20"/>
          <w:szCs w:val="20"/>
          <w:u w:val="single"/>
          <w:lang w:val="es-AR" w:eastAsia="es-AR"/>
        </w:rPr>
      </w:pPr>
      <w:r>
        <w:rPr>
          <w:rStyle w:val="Textoennegrita"/>
          <w:rFonts w:ascii="Arial" w:hAnsi="Arial" w:cs="Arial"/>
          <w:color w:val="666666"/>
        </w:rPr>
        <w:t xml:space="preserve">- </w:t>
      </w:r>
      <w:r w:rsidRPr="008B32BE">
        <w:rPr>
          <w:rStyle w:val="Textoennegrita"/>
          <w:rFonts w:ascii="Arial" w:hAnsi="Arial" w:cs="Arial"/>
          <w:color w:val="666666"/>
          <w:sz w:val="20"/>
          <w:szCs w:val="20"/>
          <w:u w:val="single"/>
          <w:lang w:val="es-AR" w:eastAsia="es-AR"/>
        </w:rPr>
        <w:t>Ajuste por inflación impositivo</w:t>
      </w:r>
    </w:p>
    <w:p w:rsidR="009A4981" w:rsidRPr="008B32BE" w:rsidRDefault="009A4981" w:rsidP="00551A1F">
      <w:pPr>
        <w:pStyle w:val="contenido"/>
        <w:spacing w:line="360" w:lineRule="auto"/>
        <w:jc w:val="both"/>
        <w:rPr>
          <w:rStyle w:val="negritanovedades"/>
          <w:lang w:val="es-AR" w:eastAsia="es-AR"/>
        </w:rPr>
      </w:pPr>
      <w:r w:rsidRPr="008B32BE">
        <w:rPr>
          <w:rStyle w:val="negritanovedades"/>
          <w:rFonts w:ascii="Arial" w:hAnsi="Arial" w:cs="Arial"/>
          <w:color w:val="666666"/>
          <w:sz w:val="20"/>
          <w:szCs w:val="20"/>
          <w:lang w:val="es-AR" w:eastAsia="es-AR"/>
        </w:rPr>
        <w:t>La imputación del ajuste por inflación impositivo correspondiente al primer y segundo ejercicio iniciados a partir del 1/1/2019 deberá imputarse en partes iguales durante 6 ejercicios fiscales.</w:t>
      </w:r>
    </w:p>
    <w:p w:rsidR="008B32BE" w:rsidRDefault="009A4981" w:rsidP="009A4981">
      <w:pPr>
        <w:pStyle w:val="contenido"/>
        <w:jc w:val="both"/>
        <w:rPr>
          <w:rStyle w:val="Textoennegrita"/>
          <w:rFonts w:ascii="Arial" w:hAnsi="Arial" w:cs="Arial"/>
          <w:color w:val="666666"/>
          <w:sz w:val="20"/>
          <w:szCs w:val="20"/>
          <w:u w:val="single"/>
          <w:lang w:val="es-AR" w:eastAsia="es-AR"/>
        </w:rPr>
      </w:pPr>
      <w:r>
        <w:rPr>
          <w:rStyle w:val="Textoennegrita"/>
          <w:rFonts w:ascii="Arial" w:hAnsi="Arial" w:cs="Arial"/>
          <w:color w:val="666666"/>
        </w:rPr>
        <w:t xml:space="preserve">- </w:t>
      </w:r>
      <w:r w:rsidRPr="008B32BE">
        <w:rPr>
          <w:rStyle w:val="Textoennegrita"/>
          <w:rFonts w:ascii="Arial" w:hAnsi="Arial" w:cs="Arial"/>
          <w:color w:val="666666"/>
          <w:sz w:val="20"/>
          <w:szCs w:val="20"/>
          <w:u w:val="single"/>
          <w:lang w:val="es-AR" w:eastAsia="es-AR"/>
        </w:rPr>
        <w:t>Contribuciones patronales</w:t>
      </w:r>
    </w:p>
    <w:p w:rsidR="008B32BE" w:rsidRDefault="009A4981" w:rsidP="00551A1F">
      <w:pPr>
        <w:pStyle w:val="contenido"/>
        <w:spacing w:line="360" w:lineRule="auto"/>
        <w:jc w:val="both"/>
        <w:rPr>
          <w:rStyle w:val="negritanovedades"/>
          <w:rFonts w:ascii="Arial" w:hAnsi="Arial" w:cs="Arial"/>
          <w:color w:val="666666"/>
          <w:sz w:val="20"/>
          <w:szCs w:val="20"/>
          <w:lang w:val="es-AR" w:eastAsia="es-AR"/>
        </w:rPr>
      </w:pPr>
      <w:r w:rsidRPr="008B32BE">
        <w:rPr>
          <w:rStyle w:val="negritanovedades"/>
          <w:rFonts w:ascii="Arial" w:hAnsi="Arial" w:cs="Arial"/>
          <w:color w:val="666666"/>
          <w:sz w:val="20"/>
          <w:szCs w:val="20"/>
          <w:lang w:val="es-AR" w:eastAsia="es-AR"/>
        </w:rPr>
        <w:t>Se restituye la apertura de alícuota contributiva para pymes (18%) y grandes empresas (20,40%), la posibilidad de tomar como crédito fiscal del IVA los puntos porcentuales correspondientes según la jurisdicción del empleador, y se deroga el decreto 814/2001.</w:t>
      </w:r>
    </w:p>
    <w:p w:rsidR="009A4981" w:rsidRPr="008B32BE" w:rsidRDefault="009A4981" w:rsidP="00551A1F">
      <w:pPr>
        <w:pStyle w:val="contenido"/>
        <w:spacing w:line="360" w:lineRule="auto"/>
        <w:jc w:val="both"/>
        <w:rPr>
          <w:rStyle w:val="negritanovedades"/>
          <w:rFonts w:ascii="Arial" w:hAnsi="Arial" w:cs="Arial"/>
          <w:color w:val="666666"/>
          <w:sz w:val="20"/>
          <w:szCs w:val="20"/>
          <w:lang w:val="es-AR" w:eastAsia="es-AR"/>
        </w:rPr>
      </w:pPr>
      <w:r w:rsidRPr="008B32BE">
        <w:rPr>
          <w:rStyle w:val="negritanovedades"/>
          <w:rFonts w:ascii="Arial" w:hAnsi="Arial" w:cs="Arial"/>
          <w:color w:val="666666"/>
          <w:sz w:val="20"/>
          <w:szCs w:val="20"/>
          <w:lang w:val="es-AR" w:eastAsia="es-AR"/>
        </w:rPr>
        <w:t>Continúa vigente la detracción sobre las contribuciones patronales en los importes actuales.</w:t>
      </w:r>
      <w:r w:rsidRPr="008B32BE">
        <w:rPr>
          <w:rStyle w:val="negritanovedades"/>
          <w:rFonts w:ascii="Arial" w:hAnsi="Arial" w:cs="Arial"/>
          <w:color w:val="666666"/>
          <w:sz w:val="20"/>
          <w:szCs w:val="20"/>
          <w:lang w:val="es-AR" w:eastAsia="es-AR"/>
        </w:rPr>
        <w:br/>
        <w:t>Adicionalmente, los empleadores que tengan una nómina de hasta 25 empleados gozarán de una detracción de $ 10.000 mensual.</w:t>
      </w:r>
    </w:p>
    <w:p w:rsidR="008B32BE" w:rsidRDefault="009A4981" w:rsidP="009A4981">
      <w:pPr>
        <w:pStyle w:val="contenido"/>
        <w:jc w:val="both"/>
        <w:rPr>
          <w:rStyle w:val="Textoennegrita"/>
          <w:rFonts w:ascii="Arial" w:hAnsi="Arial" w:cs="Arial"/>
          <w:color w:val="666666"/>
        </w:rPr>
      </w:pPr>
      <w:r>
        <w:rPr>
          <w:rStyle w:val="Textoennegrita"/>
          <w:rFonts w:ascii="Arial" w:hAnsi="Arial" w:cs="Arial"/>
          <w:color w:val="666666"/>
        </w:rPr>
        <w:t xml:space="preserve">- </w:t>
      </w:r>
      <w:r w:rsidRPr="008B32BE">
        <w:rPr>
          <w:rStyle w:val="Textoennegrita"/>
          <w:rFonts w:ascii="Arial" w:hAnsi="Arial" w:cs="Arial"/>
          <w:color w:val="666666"/>
          <w:sz w:val="20"/>
          <w:szCs w:val="20"/>
          <w:u w:val="single"/>
          <w:lang w:val="es-AR" w:eastAsia="es-AR"/>
        </w:rPr>
        <w:t>Haberes previsionales</w:t>
      </w:r>
      <w:r>
        <w:rPr>
          <w:rStyle w:val="Textoennegrita"/>
          <w:rFonts w:ascii="Arial" w:hAnsi="Arial" w:cs="Arial"/>
          <w:color w:val="666666"/>
        </w:rPr>
        <w:t xml:space="preserve"> </w:t>
      </w:r>
    </w:p>
    <w:p w:rsidR="009A4981" w:rsidRPr="008B32BE" w:rsidRDefault="009A4981" w:rsidP="00551A1F">
      <w:pPr>
        <w:pStyle w:val="contenido"/>
        <w:spacing w:line="360" w:lineRule="auto"/>
        <w:jc w:val="both"/>
        <w:rPr>
          <w:rStyle w:val="negritanovedades"/>
          <w:rFonts w:ascii="Arial" w:hAnsi="Arial" w:cs="Arial"/>
          <w:color w:val="666666"/>
          <w:sz w:val="20"/>
          <w:szCs w:val="20"/>
          <w:lang w:val="es-AR" w:eastAsia="es-AR"/>
        </w:rPr>
      </w:pPr>
      <w:r w:rsidRPr="008B32BE">
        <w:rPr>
          <w:rStyle w:val="negritanovedades"/>
          <w:rFonts w:ascii="Arial" w:hAnsi="Arial" w:cs="Arial"/>
          <w:color w:val="666666"/>
          <w:sz w:val="20"/>
          <w:szCs w:val="20"/>
          <w:lang w:val="es-AR" w:eastAsia="es-AR"/>
        </w:rPr>
        <w:lastRenderedPageBreak/>
        <w:t>Se suspende por 180 días la movilidad jubilatoria. Se excluyen diferentes regímenes especiales.</w:t>
      </w:r>
      <w:r w:rsidRPr="008B32BE">
        <w:rPr>
          <w:rStyle w:val="negritanovedades"/>
          <w:rFonts w:ascii="Arial" w:hAnsi="Arial" w:cs="Arial"/>
          <w:color w:val="666666"/>
          <w:sz w:val="20"/>
          <w:szCs w:val="20"/>
          <w:lang w:val="es-AR" w:eastAsia="es-AR"/>
        </w:rPr>
        <w:br/>
        <w:t>Durante este plazo, el Poder Ejecutivo Nacional deberá fijar trimestralmente el incremento de los haberes previsionales.</w:t>
      </w:r>
    </w:p>
    <w:p w:rsidR="008B32BE" w:rsidRDefault="009A4981" w:rsidP="009A4981">
      <w:pPr>
        <w:pStyle w:val="contenido"/>
        <w:jc w:val="both"/>
        <w:rPr>
          <w:rStyle w:val="Textoennegrita"/>
          <w:u w:val="single"/>
          <w:lang w:val="es-AR" w:eastAsia="es-AR"/>
        </w:rPr>
      </w:pPr>
      <w:r>
        <w:rPr>
          <w:rStyle w:val="Textoennegrita"/>
          <w:rFonts w:ascii="Arial" w:hAnsi="Arial" w:cs="Arial"/>
          <w:color w:val="666666"/>
        </w:rPr>
        <w:t xml:space="preserve">- </w:t>
      </w:r>
      <w:r w:rsidRPr="008B32BE">
        <w:rPr>
          <w:rStyle w:val="Textoennegrita"/>
          <w:rFonts w:ascii="Arial" w:hAnsi="Arial" w:cs="Arial"/>
          <w:color w:val="666666"/>
          <w:sz w:val="20"/>
          <w:szCs w:val="20"/>
          <w:u w:val="single"/>
          <w:lang w:val="es-AR" w:eastAsia="es-AR"/>
        </w:rPr>
        <w:t>Laboral</w:t>
      </w:r>
      <w:r w:rsidRPr="008B32BE">
        <w:rPr>
          <w:rStyle w:val="Textoennegrita"/>
          <w:u w:val="single"/>
          <w:lang w:val="es-AR" w:eastAsia="es-AR"/>
        </w:rPr>
        <w:t xml:space="preserve"> </w:t>
      </w:r>
    </w:p>
    <w:p w:rsidR="008B32BE" w:rsidRDefault="009A4981" w:rsidP="009A4981">
      <w:pPr>
        <w:pStyle w:val="contenido"/>
        <w:jc w:val="both"/>
        <w:rPr>
          <w:rStyle w:val="negritanovedades"/>
          <w:rFonts w:ascii="Arial" w:hAnsi="Arial" w:cs="Arial"/>
          <w:color w:val="666666"/>
          <w:sz w:val="20"/>
          <w:szCs w:val="20"/>
          <w:lang w:val="es-AR" w:eastAsia="es-AR"/>
        </w:rPr>
      </w:pPr>
      <w:r w:rsidRPr="008B32BE">
        <w:rPr>
          <w:rStyle w:val="negritanovedades"/>
          <w:rFonts w:ascii="Arial" w:hAnsi="Arial" w:cs="Arial"/>
          <w:color w:val="666666"/>
          <w:sz w:val="20"/>
          <w:szCs w:val="20"/>
          <w:lang w:val="es-AR" w:eastAsia="es-AR"/>
        </w:rPr>
        <w:t>Se faculta al Poder Ejecutivo a:</w:t>
      </w:r>
    </w:p>
    <w:p w:rsidR="008B32BE" w:rsidRDefault="009A4981" w:rsidP="00551A1F">
      <w:pPr>
        <w:pStyle w:val="contenido"/>
        <w:spacing w:line="360" w:lineRule="auto"/>
        <w:jc w:val="both"/>
        <w:rPr>
          <w:rStyle w:val="negritanovedades"/>
          <w:rFonts w:ascii="Arial" w:hAnsi="Arial" w:cs="Arial"/>
          <w:color w:val="666666"/>
          <w:sz w:val="20"/>
          <w:szCs w:val="20"/>
          <w:lang w:val="es-AR" w:eastAsia="es-AR"/>
        </w:rPr>
      </w:pPr>
      <w:r w:rsidRPr="008B32BE">
        <w:rPr>
          <w:rStyle w:val="negritanovedades"/>
          <w:rFonts w:ascii="Arial" w:hAnsi="Arial" w:cs="Arial"/>
          <w:color w:val="666666"/>
          <w:sz w:val="20"/>
          <w:szCs w:val="20"/>
          <w:lang w:val="es-AR" w:eastAsia="es-AR"/>
        </w:rPr>
        <w:t>- Disponer en forma obligatoria que los empleadores del sector privado abonen a sus trabajadores incrementos salariales mínimos.</w:t>
      </w:r>
    </w:p>
    <w:p w:rsidR="008B32BE" w:rsidRDefault="009A4981" w:rsidP="00551A1F">
      <w:pPr>
        <w:pStyle w:val="contenido"/>
        <w:spacing w:line="360" w:lineRule="auto"/>
        <w:jc w:val="both"/>
        <w:rPr>
          <w:rStyle w:val="negritanovedades"/>
          <w:lang w:val="es-AR" w:eastAsia="es-AR"/>
        </w:rPr>
      </w:pPr>
      <w:r w:rsidRPr="008B32BE">
        <w:rPr>
          <w:rStyle w:val="negritanovedades"/>
          <w:rFonts w:ascii="Arial" w:hAnsi="Arial" w:cs="Arial"/>
          <w:color w:val="666666"/>
          <w:sz w:val="20"/>
          <w:szCs w:val="20"/>
          <w:lang w:val="es-AR" w:eastAsia="es-AR"/>
        </w:rPr>
        <w:t>- Eximir temporalmente de la obligación del pago de aportes y contribuciones al SIPA sobre los incrementos salariales que resulten esta facultad o de la negociación colectiva</w:t>
      </w:r>
      <w:r w:rsidRPr="008B32BE">
        <w:rPr>
          <w:rStyle w:val="negritanovedades"/>
          <w:lang w:val="es-AR" w:eastAsia="es-AR"/>
        </w:rPr>
        <w:t>.</w:t>
      </w:r>
    </w:p>
    <w:p w:rsidR="009A4981" w:rsidRPr="008B32BE" w:rsidRDefault="009A4981" w:rsidP="00551A1F">
      <w:pPr>
        <w:pStyle w:val="contenido"/>
        <w:spacing w:line="360" w:lineRule="auto"/>
        <w:jc w:val="both"/>
        <w:rPr>
          <w:rStyle w:val="negritanovedades"/>
          <w:lang w:val="es-AR" w:eastAsia="es-AR"/>
        </w:rPr>
      </w:pPr>
      <w:r w:rsidRPr="008B32BE">
        <w:rPr>
          <w:rStyle w:val="negritanovedades"/>
          <w:lang w:val="es-AR" w:eastAsia="es-AR"/>
        </w:rPr>
        <w:t xml:space="preserve">- </w:t>
      </w:r>
      <w:r w:rsidRPr="008B32BE">
        <w:rPr>
          <w:rStyle w:val="negritanovedades"/>
          <w:rFonts w:ascii="Arial" w:hAnsi="Arial" w:cs="Arial"/>
          <w:color w:val="666666"/>
          <w:sz w:val="20"/>
          <w:szCs w:val="20"/>
          <w:lang w:val="es-AR" w:eastAsia="es-AR"/>
        </w:rPr>
        <w:t>Efectuar reducciones de aportes y/o de contribuciones al SIPA limitadas a jurisdicciones y actividades específicas o en situaciones críticas</w:t>
      </w:r>
      <w:r w:rsidRPr="008B32BE">
        <w:rPr>
          <w:rStyle w:val="negritanovedades"/>
          <w:lang w:val="es-AR" w:eastAsia="es-AR"/>
        </w:rPr>
        <w:t>.</w:t>
      </w:r>
    </w:p>
    <w:p w:rsidR="008B32BE" w:rsidRDefault="009A4981" w:rsidP="009A4981">
      <w:pPr>
        <w:pStyle w:val="NormalWeb"/>
        <w:spacing w:before="0" w:beforeAutospacing="0" w:after="0" w:afterAutospacing="0" w:line="360" w:lineRule="auto"/>
        <w:jc w:val="both"/>
        <w:rPr>
          <w:rFonts w:ascii="Arial" w:hAnsi="Arial" w:cs="Arial"/>
          <w:color w:val="666666"/>
          <w:sz w:val="20"/>
          <w:szCs w:val="20"/>
        </w:rPr>
      </w:pPr>
      <w:r>
        <w:rPr>
          <w:rStyle w:val="Textoennegrita"/>
          <w:rFonts w:ascii="Arial" w:hAnsi="Arial" w:cs="Arial"/>
          <w:color w:val="666666"/>
        </w:rPr>
        <w:t xml:space="preserve">- </w:t>
      </w:r>
      <w:r w:rsidRPr="008B32BE">
        <w:rPr>
          <w:rStyle w:val="Textoennegrita"/>
          <w:rFonts w:ascii="Arial" w:eastAsia="Times New Roman" w:hAnsi="Arial" w:cs="Arial"/>
          <w:color w:val="666666"/>
          <w:sz w:val="20"/>
          <w:szCs w:val="20"/>
          <w:u w:val="single"/>
          <w:lang w:val="es-AR" w:eastAsia="es-AR"/>
        </w:rPr>
        <w:t>Sociedades</w:t>
      </w:r>
      <w:r>
        <w:rPr>
          <w:rFonts w:ascii="Arial" w:hAnsi="Arial" w:cs="Arial"/>
          <w:color w:val="666666"/>
          <w:sz w:val="20"/>
          <w:szCs w:val="20"/>
        </w:rPr>
        <w:t xml:space="preserve"> </w:t>
      </w:r>
    </w:p>
    <w:p w:rsidR="00D86094" w:rsidRDefault="009A4981" w:rsidP="009A4981">
      <w:pPr>
        <w:pStyle w:val="NormalWeb"/>
        <w:spacing w:before="0" w:beforeAutospacing="0" w:after="0" w:afterAutospacing="0" w:line="360" w:lineRule="auto"/>
        <w:jc w:val="both"/>
        <w:rPr>
          <w:rFonts w:ascii="Arial" w:eastAsia="Times New Roman" w:hAnsi="Arial" w:cs="Arial"/>
          <w:b/>
          <w:bCs/>
          <w:color w:val="666666"/>
          <w:sz w:val="20"/>
          <w:szCs w:val="20"/>
        </w:rPr>
      </w:pPr>
      <w:r w:rsidRPr="008B32BE">
        <w:rPr>
          <w:rStyle w:val="negritanovedades"/>
          <w:rFonts w:ascii="Arial" w:eastAsia="Times New Roman" w:hAnsi="Arial" w:cs="Arial"/>
          <w:color w:val="666666"/>
          <w:sz w:val="20"/>
          <w:szCs w:val="20"/>
          <w:lang w:val="es-AR" w:eastAsia="es-AR"/>
        </w:rPr>
        <w:t>Se suspende hasta el 31/12/2020 la aplicación del inciso 5) del artículo 94 de la ley general de sociedades, que establece como una causal de disolución la pérdida del capital, así como el artículo 206, que obliga a las sociedades a reducir su capital social cuando las pérdidas insumen las reservas y el 50% del mismo</w:t>
      </w:r>
      <w:r>
        <w:rPr>
          <w:rFonts w:ascii="Arial" w:hAnsi="Arial" w:cs="Arial"/>
          <w:color w:val="666666"/>
          <w:sz w:val="20"/>
          <w:szCs w:val="20"/>
        </w:rPr>
        <w:t>.</w:t>
      </w:r>
      <w:r w:rsidR="00DA7B32">
        <w:rPr>
          <w:rFonts w:ascii="Arial" w:eastAsia="Times New Roman" w:hAnsi="Arial" w:cs="Arial"/>
          <w:b/>
          <w:bCs/>
          <w:color w:val="666666"/>
          <w:sz w:val="20"/>
          <w:szCs w:val="20"/>
        </w:rPr>
        <w:t>.</w:t>
      </w:r>
    </w:p>
    <w:p w:rsidR="00551A1F" w:rsidRPr="00551A1F" w:rsidRDefault="00551A1F" w:rsidP="00551A1F">
      <w:pPr>
        <w:pStyle w:val="NormalWeb"/>
        <w:jc w:val="both"/>
        <w:rPr>
          <w:rFonts w:ascii="Arial" w:hAnsi="Arial" w:cs="Arial"/>
          <w:b/>
          <w:bCs/>
          <w:caps/>
          <w:color w:val="002F5D"/>
          <w:sz w:val="21"/>
          <w:szCs w:val="21"/>
        </w:rPr>
      </w:pPr>
      <w:r w:rsidRPr="00551A1F">
        <w:rPr>
          <w:rFonts w:ascii="Arial" w:hAnsi="Arial" w:cs="Arial"/>
          <w:b/>
          <w:bCs/>
          <w:caps/>
          <w:color w:val="002F5D"/>
          <w:sz w:val="21"/>
          <w:szCs w:val="21"/>
        </w:rPr>
        <w:t xml:space="preserve">dólar Turista </w:t>
      </w:r>
    </w:p>
    <w:p w:rsidR="00551A1F" w:rsidRPr="00551A1F" w:rsidRDefault="00551A1F" w:rsidP="00551A1F">
      <w:pPr>
        <w:pStyle w:val="NormalWeb"/>
        <w:jc w:val="both"/>
        <w:rPr>
          <w:rFonts w:ascii="Arial" w:hAnsi="Arial" w:cs="Arial"/>
          <w:b/>
          <w:bCs/>
          <w:caps/>
          <w:color w:val="002F5D"/>
          <w:sz w:val="21"/>
          <w:szCs w:val="21"/>
        </w:rPr>
      </w:pPr>
      <w:r w:rsidRPr="00551A1F">
        <w:rPr>
          <w:rFonts w:ascii="Arial" w:hAnsi="Arial" w:cs="Arial"/>
          <w:b/>
          <w:bCs/>
          <w:caps/>
          <w:color w:val="002F5D"/>
          <w:sz w:val="21"/>
          <w:szCs w:val="21"/>
        </w:rPr>
        <w:t>¿Qué ocurrió con las compras realizadas previamente a la sanción de la ley?</w:t>
      </w:r>
    </w:p>
    <w:p w:rsidR="00551A1F" w:rsidRPr="00551A1F" w:rsidRDefault="00551A1F" w:rsidP="00551A1F">
      <w:pPr>
        <w:pStyle w:val="NormalWeb"/>
        <w:spacing w:before="0" w:beforeAutospacing="0" w:after="0" w:afterAutospacing="0" w:line="360" w:lineRule="auto"/>
        <w:jc w:val="both"/>
        <w:rPr>
          <w:rStyle w:val="negritanovedades"/>
          <w:rFonts w:ascii="Arial" w:eastAsia="Times New Roman" w:hAnsi="Arial" w:cs="Arial"/>
          <w:color w:val="666666"/>
          <w:sz w:val="20"/>
          <w:szCs w:val="20"/>
          <w:lang w:val="es-AR" w:eastAsia="es-AR"/>
        </w:rPr>
      </w:pPr>
      <w:r w:rsidRPr="00551A1F">
        <w:rPr>
          <w:rStyle w:val="negritanovedades"/>
          <w:rFonts w:ascii="Arial" w:eastAsia="Times New Roman" w:hAnsi="Arial" w:cs="Arial"/>
          <w:color w:val="666666"/>
          <w:sz w:val="20"/>
          <w:szCs w:val="20"/>
          <w:lang w:val="es-AR" w:eastAsia="es-AR"/>
        </w:rPr>
        <w:t>La reglamentación empezó a regir para las futuras compras ya que una ley nunca rige "para atrás". Sin embargo, si la compra con tarjeta de crédito fue anterior a la promulgación pero la misma tiene fecha de cierre a posteriori, pagará el 30% extra. Si la tarjeta cerró antes de la publicación de la norma en el Boletín Oficial, las compras no serán alcanzadas.</w:t>
      </w:r>
    </w:p>
    <w:p w:rsidR="00551A1F" w:rsidRPr="001956EA" w:rsidRDefault="00551A1F" w:rsidP="00551A1F">
      <w:pPr>
        <w:pStyle w:val="NormalWeb"/>
        <w:jc w:val="both"/>
        <w:rPr>
          <w:rFonts w:ascii="Arial" w:hAnsi="Arial" w:cs="Arial"/>
          <w:b/>
          <w:bCs/>
          <w:caps/>
          <w:color w:val="376889"/>
          <w:sz w:val="21"/>
          <w:szCs w:val="21"/>
        </w:rPr>
      </w:pPr>
      <w:r w:rsidRPr="001956EA">
        <w:rPr>
          <w:rFonts w:ascii="Arial" w:hAnsi="Arial" w:cs="Arial"/>
          <w:b/>
          <w:bCs/>
          <w:caps/>
          <w:color w:val="376889"/>
          <w:sz w:val="21"/>
          <w:szCs w:val="21"/>
        </w:rPr>
        <w:t>¿Qué es el dólar turista?</w:t>
      </w:r>
    </w:p>
    <w:p w:rsidR="00551A1F" w:rsidRPr="00551A1F" w:rsidRDefault="00551A1F" w:rsidP="00551A1F">
      <w:pPr>
        <w:pStyle w:val="NormalWeb"/>
        <w:spacing w:line="360" w:lineRule="auto"/>
        <w:jc w:val="both"/>
        <w:rPr>
          <w:rStyle w:val="negritanovedades"/>
          <w:rFonts w:ascii="Arial" w:eastAsia="Times New Roman" w:hAnsi="Arial" w:cs="Arial"/>
          <w:color w:val="666666"/>
          <w:sz w:val="20"/>
          <w:szCs w:val="20"/>
          <w:lang w:val="es-AR" w:eastAsia="es-AR"/>
        </w:rPr>
      </w:pPr>
      <w:r w:rsidRPr="00551A1F">
        <w:rPr>
          <w:rStyle w:val="negritanovedades"/>
          <w:rFonts w:ascii="Arial" w:eastAsia="Times New Roman" w:hAnsi="Arial" w:cs="Arial"/>
          <w:color w:val="666666"/>
          <w:sz w:val="20"/>
          <w:szCs w:val="20"/>
          <w:lang w:val="es-AR" w:eastAsia="es-AR"/>
        </w:rPr>
        <w:t xml:space="preserve">Se le dice dólar turista porque serán los argentinos que viajan al exterior los que lo pagarán. Sin embargo, también alcanzará a los servicios extranjeros que son contratados </w:t>
      </w:r>
      <w:r w:rsidRPr="00551A1F">
        <w:rPr>
          <w:rStyle w:val="negritanovedades"/>
          <w:rFonts w:ascii="Arial" w:eastAsia="Times New Roman" w:hAnsi="Arial" w:cs="Arial"/>
          <w:color w:val="666666"/>
          <w:sz w:val="20"/>
          <w:szCs w:val="20"/>
          <w:lang w:val="es-AR" w:eastAsia="es-AR"/>
        </w:rPr>
        <w:lastRenderedPageBreak/>
        <w:t>dentro del país. No se trata de un nuevo tipo de cambio oficial sino que es un nuevo impuesto que se llama Impuesto Para una Argentina Inclusiva y Solidaria (PAIS).</w:t>
      </w:r>
    </w:p>
    <w:p w:rsidR="00551A1F" w:rsidRPr="00551A1F" w:rsidRDefault="00551A1F" w:rsidP="00551A1F">
      <w:pPr>
        <w:pStyle w:val="NormalWeb"/>
        <w:spacing w:line="360" w:lineRule="auto"/>
        <w:jc w:val="both"/>
        <w:rPr>
          <w:rStyle w:val="negritanovedades"/>
          <w:rFonts w:ascii="Arial" w:eastAsia="Times New Roman" w:hAnsi="Arial" w:cs="Arial"/>
          <w:color w:val="666666"/>
          <w:sz w:val="20"/>
          <w:szCs w:val="20"/>
          <w:lang w:val="es-AR" w:eastAsia="es-AR"/>
        </w:rPr>
      </w:pPr>
      <w:r w:rsidRPr="00551A1F">
        <w:rPr>
          <w:rStyle w:val="negritanovedades"/>
          <w:rFonts w:ascii="Arial" w:eastAsia="Times New Roman" w:hAnsi="Arial" w:cs="Arial"/>
          <w:color w:val="666666"/>
          <w:sz w:val="20"/>
          <w:szCs w:val="20"/>
          <w:lang w:val="es-AR" w:eastAsia="es-AR"/>
        </w:rPr>
        <w:t>Es un recargo del 30% que se establece a partir de la ley sancionada la madrugada del sábado por el Congreso nacional. Se da en el marco de una emergencia económica y tiene como fin aplicarse a las compras en moneda extranjera con tarjetas de crédito y débito emitidas por un banco o entidad financiera en la Argentina. La ley establece que se da en el marco de una "emergencia" y tendrá una duración de cinco períodos fiscales.</w:t>
      </w:r>
    </w:p>
    <w:p w:rsidR="00551A1F" w:rsidRDefault="00551A1F" w:rsidP="00551A1F">
      <w:pPr>
        <w:pStyle w:val="NormalWeb"/>
        <w:spacing w:before="0" w:beforeAutospacing="0" w:after="0" w:afterAutospacing="0" w:line="360" w:lineRule="auto"/>
        <w:jc w:val="both"/>
        <w:rPr>
          <w:rStyle w:val="negritanovedades"/>
          <w:rFonts w:ascii="Arial" w:eastAsia="Times New Roman" w:hAnsi="Arial" w:cs="Arial"/>
          <w:color w:val="666666"/>
          <w:sz w:val="20"/>
          <w:szCs w:val="20"/>
          <w:lang w:val="es-AR" w:eastAsia="es-AR"/>
        </w:rPr>
      </w:pPr>
      <w:r w:rsidRPr="00551A1F">
        <w:rPr>
          <w:rStyle w:val="negritanovedades"/>
          <w:rFonts w:ascii="Arial" w:eastAsia="Times New Roman" w:hAnsi="Arial" w:cs="Arial"/>
          <w:color w:val="666666"/>
          <w:sz w:val="20"/>
          <w:szCs w:val="20"/>
          <w:lang w:val="es-AR" w:eastAsia="es-AR"/>
        </w:rPr>
        <w:t>El precio de cotización virtual será 30% mayor que el valor del dólar oficial tipo vendedor del Banco Nación.</w:t>
      </w:r>
    </w:p>
    <w:p w:rsidR="00E62DC2" w:rsidRDefault="00E62DC2" w:rsidP="00551A1F">
      <w:pPr>
        <w:pStyle w:val="NormalWeb"/>
        <w:spacing w:before="0" w:beforeAutospacing="0" w:after="0" w:afterAutospacing="0" w:line="360" w:lineRule="auto"/>
        <w:jc w:val="both"/>
        <w:rPr>
          <w:rStyle w:val="negritanovedades"/>
          <w:rFonts w:ascii="Arial" w:eastAsia="Times New Roman" w:hAnsi="Arial" w:cs="Arial"/>
          <w:color w:val="666666"/>
          <w:sz w:val="20"/>
          <w:szCs w:val="20"/>
          <w:lang w:val="es-AR" w:eastAsia="es-AR"/>
        </w:rPr>
      </w:pPr>
    </w:p>
    <w:p w:rsidR="00E62DC2" w:rsidRPr="003B674E" w:rsidRDefault="00E62DC2" w:rsidP="00E62DC2">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provinciales</w:t>
      </w:r>
    </w:p>
    <w:p w:rsidR="00E62DC2" w:rsidRDefault="00E62DC2" w:rsidP="00E62DC2">
      <w:pPr>
        <w:pStyle w:val="NormalWeb"/>
        <w:spacing w:before="0" w:beforeAutospacing="0" w:after="0" w:afterAutospacing="0"/>
        <w:jc w:val="both"/>
        <w:rPr>
          <w:rFonts w:ascii="Arial" w:hAnsi="Arial" w:cs="Arial"/>
          <w:b/>
          <w:bCs/>
          <w:caps/>
          <w:color w:val="376889"/>
          <w:sz w:val="21"/>
          <w:szCs w:val="21"/>
        </w:rPr>
      </w:pPr>
    </w:p>
    <w:p w:rsidR="00E62DC2" w:rsidRDefault="00E62DC2" w:rsidP="00E62DC2">
      <w:pPr>
        <w:pStyle w:val="NormalWeb"/>
        <w:spacing w:before="0" w:beforeAutospacing="0" w:after="0" w:afterAutospacing="0"/>
        <w:jc w:val="both"/>
        <w:rPr>
          <w:rFonts w:ascii="Arial" w:hAnsi="Arial" w:cs="Arial"/>
          <w:b/>
          <w:bCs/>
          <w:caps/>
          <w:color w:val="376889"/>
        </w:rPr>
      </w:pPr>
      <w:r w:rsidRPr="00CE400C">
        <w:rPr>
          <w:rFonts w:ascii="Arial" w:hAnsi="Arial" w:cs="Arial"/>
          <w:b/>
          <w:bCs/>
          <w:caps/>
          <w:color w:val="002F5D"/>
        </w:rPr>
        <w:t>LEGISLACION</w:t>
      </w:r>
      <w:r w:rsidRPr="00CE400C">
        <w:rPr>
          <w:rFonts w:ascii="Arial" w:hAnsi="Arial" w:cs="Arial"/>
          <w:b/>
          <w:bCs/>
          <w:caps/>
          <w:color w:val="376889"/>
        </w:rPr>
        <w:t xml:space="preserve"> </w:t>
      </w:r>
    </w:p>
    <w:p w:rsidR="00E62DC2" w:rsidRDefault="00E62DC2" w:rsidP="00E62DC2">
      <w:pPr>
        <w:pStyle w:val="NormalWeb"/>
        <w:spacing w:before="0" w:beforeAutospacing="0" w:after="0" w:afterAutospacing="0"/>
        <w:jc w:val="both"/>
        <w:rPr>
          <w:rFonts w:ascii="Arial" w:hAnsi="Arial" w:cs="Arial"/>
          <w:b/>
          <w:bCs/>
          <w:caps/>
          <w:color w:val="376889"/>
        </w:rPr>
      </w:pPr>
    </w:p>
    <w:p w:rsidR="00E62DC2" w:rsidRDefault="00E62DC2" w:rsidP="00E62DC2">
      <w:pPr>
        <w:pStyle w:val="NormalWeb"/>
        <w:spacing w:before="0" w:beforeAutospacing="0" w:after="0" w:afterAutospacing="0"/>
        <w:jc w:val="both"/>
        <w:rPr>
          <w:rFonts w:ascii="Arial" w:hAnsi="Arial" w:cs="Arial"/>
          <w:b/>
          <w:bCs/>
          <w:caps/>
          <w:color w:val="376889"/>
        </w:rPr>
      </w:pPr>
      <w:r>
        <w:rPr>
          <w:rFonts w:ascii="Arial" w:hAnsi="Arial" w:cs="Arial"/>
          <w:b/>
          <w:bCs/>
          <w:caps/>
          <w:color w:val="376889"/>
        </w:rPr>
        <w:t>santa fe – proyecto de reforma tributaria</w:t>
      </w:r>
    </w:p>
    <w:p w:rsidR="00E62DC2" w:rsidRDefault="00E62DC2" w:rsidP="00E62DC2">
      <w:pPr>
        <w:pStyle w:val="NormalWeb"/>
        <w:spacing w:before="0" w:beforeAutospacing="0" w:after="0" w:afterAutospacing="0"/>
        <w:jc w:val="both"/>
        <w:rPr>
          <w:rFonts w:ascii="Arial" w:hAnsi="Arial" w:cs="Arial"/>
          <w:b/>
          <w:bCs/>
          <w:caps/>
          <w:color w:val="376889"/>
        </w:rPr>
      </w:pPr>
    </w:p>
    <w:p w:rsidR="00E62DC2" w:rsidRDefault="00E62DC2" w:rsidP="00E62DC2">
      <w:pPr>
        <w:autoSpaceDE w:val="0"/>
        <w:autoSpaceDN w:val="0"/>
        <w:adjustRightInd w:val="0"/>
        <w:rPr>
          <w:rStyle w:val="negritanovedades"/>
          <w:rFonts w:ascii="Arial" w:eastAsia="Times New Roman" w:hAnsi="Arial" w:cs="Arial"/>
          <w:color w:val="666666"/>
          <w:sz w:val="20"/>
          <w:szCs w:val="20"/>
          <w:lang w:val="es-AR" w:eastAsia="es-AR"/>
        </w:rPr>
      </w:pPr>
      <w:r>
        <w:rPr>
          <w:rStyle w:val="negritanovedades"/>
          <w:rFonts w:ascii="Arial" w:eastAsia="Times New Roman" w:hAnsi="Arial" w:cs="Arial"/>
          <w:color w:val="666666"/>
          <w:sz w:val="20"/>
          <w:szCs w:val="20"/>
          <w:lang w:val="es-AR" w:eastAsia="es-AR"/>
        </w:rPr>
        <w:t xml:space="preserve">Los aspectos más relevantes son </w:t>
      </w:r>
    </w:p>
    <w:p w:rsidR="00E62DC2" w:rsidRDefault="00E62DC2" w:rsidP="00E62DC2">
      <w:pPr>
        <w:autoSpaceDE w:val="0"/>
        <w:autoSpaceDN w:val="0"/>
        <w:adjustRightInd w:val="0"/>
        <w:rPr>
          <w:rStyle w:val="negritanovedades"/>
          <w:rFonts w:ascii="Arial" w:eastAsia="Times New Roman" w:hAnsi="Arial" w:cs="Arial"/>
          <w:color w:val="666666"/>
          <w:sz w:val="20"/>
          <w:szCs w:val="20"/>
          <w:lang w:val="es-AR" w:eastAsia="es-AR"/>
        </w:rPr>
      </w:pPr>
    </w:p>
    <w:p w:rsidR="00E62DC2" w:rsidRPr="00E62DC2" w:rsidRDefault="00E62DC2" w:rsidP="00E62DC2">
      <w:pPr>
        <w:autoSpaceDE w:val="0"/>
        <w:autoSpaceDN w:val="0"/>
        <w:adjustRightInd w:val="0"/>
        <w:rPr>
          <w:rStyle w:val="negritanovedades"/>
          <w:rFonts w:ascii="Arial" w:eastAsia="Times New Roman" w:hAnsi="Arial" w:cs="Arial"/>
          <w:color w:val="666666"/>
          <w:sz w:val="20"/>
          <w:szCs w:val="20"/>
          <w:lang w:val="es-AR" w:eastAsia="es-AR"/>
        </w:rPr>
      </w:pPr>
      <w:r w:rsidRPr="00E62DC2">
        <w:rPr>
          <w:rStyle w:val="negritanovedades"/>
          <w:rFonts w:ascii="Arial" w:eastAsia="Times New Roman" w:hAnsi="Arial" w:cs="Arial"/>
          <w:color w:val="666666"/>
          <w:sz w:val="20"/>
          <w:szCs w:val="20"/>
          <w:lang w:val="es-AR" w:eastAsia="es-AR"/>
        </w:rPr>
        <w:t>IMPUESTO INMOBILIARIO</w:t>
      </w:r>
    </w:p>
    <w:p w:rsidR="00E62DC2" w:rsidRDefault="00E62DC2" w:rsidP="00E62DC2">
      <w:pPr>
        <w:autoSpaceDE w:val="0"/>
        <w:autoSpaceDN w:val="0"/>
        <w:adjustRightInd w:val="0"/>
        <w:rPr>
          <w:rStyle w:val="negritanovedades"/>
          <w:rFonts w:ascii="Arial" w:eastAsia="Times New Roman" w:hAnsi="Arial" w:cs="Arial"/>
          <w:color w:val="666666"/>
          <w:sz w:val="20"/>
          <w:szCs w:val="20"/>
          <w:lang w:val="es-AR" w:eastAsia="es-AR"/>
        </w:rPr>
      </w:pPr>
    </w:p>
    <w:p w:rsidR="00E62DC2" w:rsidRPr="00E62DC2" w:rsidRDefault="00E62DC2" w:rsidP="00E62DC2">
      <w:pPr>
        <w:autoSpaceDE w:val="0"/>
        <w:autoSpaceDN w:val="0"/>
        <w:adjustRightInd w:val="0"/>
        <w:spacing w:line="360" w:lineRule="auto"/>
        <w:rPr>
          <w:rStyle w:val="negritanovedades"/>
          <w:rFonts w:ascii="Arial" w:eastAsia="Times New Roman" w:hAnsi="Arial" w:cs="Arial"/>
          <w:color w:val="666666"/>
          <w:sz w:val="20"/>
          <w:szCs w:val="20"/>
          <w:lang w:val="es-AR" w:eastAsia="es-AR"/>
        </w:rPr>
      </w:pPr>
      <w:r>
        <w:rPr>
          <w:rStyle w:val="negritanovedades"/>
          <w:rFonts w:ascii="Arial" w:eastAsia="Times New Roman" w:hAnsi="Arial" w:cs="Arial"/>
          <w:color w:val="666666"/>
          <w:sz w:val="20"/>
          <w:szCs w:val="20"/>
          <w:lang w:val="es-AR" w:eastAsia="es-AR"/>
        </w:rPr>
        <w:t>I</w:t>
      </w:r>
      <w:r w:rsidRPr="00E62DC2">
        <w:rPr>
          <w:rStyle w:val="negritanovedades"/>
          <w:rFonts w:ascii="Arial" w:eastAsia="Times New Roman" w:hAnsi="Arial" w:cs="Arial"/>
          <w:color w:val="666666"/>
          <w:sz w:val="20"/>
          <w:szCs w:val="20"/>
          <w:lang w:val="es-AR" w:eastAsia="es-AR"/>
        </w:rPr>
        <w:t xml:space="preserve">ncremento en </w:t>
      </w:r>
      <w:r>
        <w:rPr>
          <w:rStyle w:val="negritanovedades"/>
          <w:rFonts w:ascii="Arial" w:eastAsia="Times New Roman" w:hAnsi="Arial" w:cs="Arial"/>
          <w:color w:val="666666"/>
          <w:sz w:val="20"/>
          <w:szCs w:val="20"/>
          <w:lang w:val="es-AR" w:eastAsia="es-AR"/>
        </w:rPr>
        <w:t>el</w:t>
      </w:r>
      <w:r w:rsidRPr="00E62DC2">
        <w:rPr>
          <w:rStyle w:val="negritanovedades"/>
          <w:rFonts w:ascii="Arial" w:eastAsia="Times New Roman" w:hAnsi="Arial" w:cs="Arial"/>
          <w:color w:val="666666"/>
          <w:sz w:val="20"/>
          <w:szCs w:val="20"/>
          <w:lang w:val="es-AR" w:eastAsia="es-AR"/>
        </w:rPr>
        <w:t xml:space="preserve"> Impuesto Inmobiliario Rural, </w:t>
      </w:r>
    </w:p>
    <w:p w:rsidR="00E62DC2" w:rsidRDefault="00E62DC2" w:rsidP="00E62DC2">
      <w:pPr>
        <w:pStyle w:val="Prrafodelista"/>
        <w:numPr>
          <w:ilvl w:val="0"/>
          <w:numId w:val="31"/>
        </w:numPr>
        <w:autoSpaceDE w:val="0"/>
        <w:autoSpaceDN w:val="0"/>
        <w:adjustRightInd w:val="0"/>
        <w:spacing w:line="360" w:lineRule="auto"/>
        <w:rPr>
          <w:rStyle w:val="negritanovedades"/>
          <w:rFonts w:ascii="Arial" w:eastAsia="Times New Roman" w:hAnsi="Arial" w:cs="Arial"/>
          <w:color w:val="666666"/>
          <w:sz w:val="20"/>
          <w:szCs w:val="20"/>
          <w:lang w:val="es-AR" w:eastAsia="es-AR"/>
        </w:rPr>
      </w:pPr>
      <w:r w:rsidRPr="00E62DC2">
        <w:rPr>
          <w:rStyle w:val="negritanovedades"/>
          <w:rFonts w:ascii="Arial" w:eastAsia="Times New Roman" w:hAnsi="Arial" w:cs="Arial"/>
          <w:color w:val="666666"/>
          <w:sz w:val="20"/>
          <w:szCs w:val="20"/>
          <w:lang w:val="es-AR" w:eastAsia="es-AR"/>
        </w:rPr>
        <w:t>10% para los Rangos 1 a 2, inclusive.</w:t>
      </w:r>
    </w:p>
    <w:p w:rsidR="00E62DC2" w:rsidRPr="00E62DC2" w:rsidRDefault="00E62DC2" w:rsidP="00E62DC2">
      <w:pPr>
        <w:pStyle w:val="Prrafodelista"/>
        <w:numPr>
          <w:ilvl w:val="0"/>
          <w:numId w:val="31"/>
        </w:numPr>
        <w:autoSpaceDE w:val="0"/>
        <w:autoSpaceDN w:val="0"/>
        <w:adjustRightInd w:val="0"/>
        <w:spacing w:line="360" w:lineRule="auto"/>
        <w:rPr>
          <w:rStyle w:val="negritanovedades"/>
          <w:rFonts w:ascii="Arial" w:eastAsia="Times New Roman" w:hAnsi="Arial" w:cs="Arial"/>
          <w:color w:val="666666"/>
          <w:sz w:val="20"/>
          <w:szCs w:val="20"/>
          <w:lang w:val="es-AR" w:eastAsia="es-AR"/>
        </w:rPr>
      </w:pPr>
      <w:r w:rsidRPr="00E62DC2">
        <w:rPr>
          <w:rStyle w:val="negritanovedades"/>
          <w:rFonts w:ascii="Arial" w:eastAsia="Times New Roman" w:hAnsi="Arial" w:cs="Arial"/>
          <w:color w:val="666666"/>
          <w:sz w:val="20"/>
          <w:szCs w:val="20"/>
          <w:lang w:val="es-AR" w:eastAsia="es-AR"/>
        </w:rPr>
        <w:t>40% para los Rangos 3 a 11, inclusive.</w:t>
      </w:r>
    </w:p>
    <w:p w:rsidR="00E62DC2" w:rsidRDefault="00E62DC2" w:rsidP="00E62DC2">
      <w:pPr>
        <w:autoSpaceDE w:val="0"/>
        <w:autoSpaceDN w:val="0"/>
        <w:adjustRightInd w:val="0"/>
        <w:rPr>
          <w:rStyle w:val="negritanovedades"/>
          <w:rFonts w:ascii="Arial" w:eastAsia="Times New Roman" w:hAnsi="Arial" w:cs="Arial"/>
          <w:color w:val="666666"/>
          <w:sz w:val="20"/>
          <w:szCs w:val="20"/>
          <w:lang w:val="es-AR" w:eastAsia="es-AR"/>
        </w:rPr>
      </w:pPr>
    </w:p>
    <w:p w:rsidR="00E62DC2" w:rsidRDefault="00E62DC2" w:rsidP="00E62DC2">
      <w:pPr>
        <w:autoSpaceDE w:val="0"/>
        <w:autoSpaceDN w:val="0"/>
        <w:adjustRightInd w:val="0"/>
        <w:rPr>
          <w:rStyle w:val="negritanovedades"/>
          <w:rFonts w:ascii="Arial" w:eastAsia="Times New Roman" w:hAnsi="Arial" w:cs="Arial"/>
          <w:color w:val="666666"/>
          <w:sz w:val="20"/>
          <w:szCs w:val="20"/>
          <w:lang w:val="es-AR" w:eastAsia="es-AR"/>
        </w:rPr>
      </w:pPr>
      <w:r>
        <w:rPr>
          <w:rStyle w:val="negritanovedades"/>
          <w:rFonts w:ascii="Arial" w:eastAsia="Times New Roman" w:hAnsi="Arial" w:cs="Arial"/>
          <w:color w:val="666666"/>
          <w:sz w:val="20"/>
          <w:szCs w:val="20"/>
          <w:lang w:val="es-AR" w:eastAsia="es-AR"/>
        </w:rPr>
        <w:t xml:space="preserve">Incremento en el </w:t>
      </w:r>
      <w:r w:rsidRPr="00E62DC2">
        <w:rPr>
          <w:rStyle w:val="negritanovedades"/>
          <w:rFonts w:ascii="Arial" w:eastAsia="Times New Roman" w:hAnsi="Arial" w:cs="Arial"/>
          <w:color w:val="666666"/>
          <w:sz w:val="20"/>
          <w:szCs w:val="20"/>
          <w:lang w:val="es-AR" w:eastAsia="es-AR"/>
        </w:rPr>
        <w:t>Impuesto</w:t>
      </w:r>
      <w:r>
        <w:rPr>
          <w:rStyle w:val="negritanovedades"/>
          <w:rFonts w:ascii="Arial" w:eastAsia="Times New Roman" w:hAnsi="Arial" w:cs="Arial"/>
          <w:color w:val="666666"/>
          <w:sz w:val="20"/>
          <w:szCs w:val="20"/>
          <w:lang w:val="es-AR" w:eastAsia="es-AR"/>
        </w:rPr>
        <w:t xml:space="preserve"> </w:t>
      </w:r>
      <w:r w:rsidRPr="00E62DC2">
        <w:rPr>
          <w:rStyle w:val="negritanovedades"/>
          <w:rFonts w:ascii="Arial" w:eastAsia="Times New Roman" w:hAnsi="Arial" w:cs="Arial"/>
          <w:color w:val="666666"/>
          <w:sz w:val="20"/>
          <w:szCs w:val="20"/>
          <w:lang w:val="es-AR" w:eastAsia="es-AR"/>
        </w:rPr>
        <w:t>i</w:t>
      </w:r>
      <w:r>
        <w:rPr>
          <w:rStyle w:val="negritanovedades"/>
          <w:rFonts w:ascii="Arial" w:eastAsia="Times New Roman" w:hAnsi="Arial" w:cs="Arial"/>
          <w:color w:val="666666"/>
          <w:sz w:val="20"/>
          <w:szCs w:val="20"/>
          <w:lang w:val="es-AR" w:eastAsia="es-AR"/>
        </w:rPr>
        <w:t>n</w:t>
      </w:r>
      <w:r w:rsidRPr="00E62DC2">
        <w:rPr>
          <w:rStyle w:val="negritanovedades"/>
          <w:rFonts w:ascii="Arial" w:eastAsia="Times New Roman" w:hAnsi="Arial" w:cs="Arial"/>
          <w:color w:val="666666"/>
          <w:sz w:val="20"/>
          <w:szCs w:val="20"/>
          <w:lang w:val="es-AR" w:eastAsia="es-AR"/>
        </w:rPr>
        <w:t>mobiliario Urbano y Suburbano</w:t>
      </w:r>
    </w:p>
    <w:p w:rsidR="00E62DC2" w:rsidRPr="00E62DC2" w:rsidRDefault="00E62DC2" w:rsidP="00E62DC2">
      <w:pPr>
        <w:autoSpaceDE w:val="0"/>
        <w:autoSpaceDN w:val="0"/>
        <w:adjustRightInd w:val="0"/>
        <w:rPr>
          <w:rStyle w:val="negritanovedades"/>
          <w:rFonts w:ascii="Arial" w:eastAsia="Times New Roman" w:hAnsi="Arial" w:cs="Arial"/>
          <w:color w:val="666666"/>
          <w:sz w:val="20"/>
          <w:szCs w:val="20"/>
          <w:lang w:val="es-AR" w:eastAsia="es-AR"/>
        </w:rPr>
      </w:pPr>
    </w:p>
    <w:p w:rsidR="00E62DC2" w:rsidRPr="00E62DC2" w:rsidRDefault="00E62DC2" w:rsidP="00E62DC2">
      <w:pPr>
        <w:pStyle w:val="Prrafodelista"/>
        <w:numPr>
          <w:ilvl w:val="0"/>
          <w:numId w:val="32"/>
        </w:numPr>
        <w:autoSpaceDE w:val="0"/>
        <w:autoSpaceDN w:val="0"/>
        <w:adjustRightInd w:val="0"/>
        <w:spacing w:line="360" w:lineRule="auto"/>
        <w:rPr>
          <w:rStyle w:val="negritanovedades"/>
          <w:rFonts w:ascii="Arial" w:eastAsia="Times New Roman" w:hAnsi="Arial" w:cs="Arial"/>
          <w:color w:val="666666"/>
          <w:sz w:val="20"/>
          <w:szCs w:val="20"/>
          <w:lang w:val="es-AR" w:eastAsia="es-AR"/>
        </w:rPr>
      </w:pPr>
      <w:r w:rsidRPr="00E62DC2">
        <w:rPr>
          <w:rStyle w:val="negritanovedades"/>
          <w:rFonts w:ascii="Arial" w:eastAsia="Times New Roman" w:hAnsi="Arial" w:cs="Arial"/>
          <w:color w:val="666666"/>
          <w:sz w:val="20"/>
          <w:szCs w:val="20"/>
          <w:lang w:val="es-AR" w:eastAsia="es-AR"/>
        </w:rPr>
        <w:t>10% para los Rangos 1 a 3, inclusive.</w:t>
      </w:r>
    </w:p>
    <w:p w:rsidR="00E62DC2" w:rsidRPr="00E62DC2" w:rsidRDefault="00E62DC2" w:rsidP="00E62DC2">
      <w:pPr>
        <w:pStyle w:val="Prrafodelista"/>
        <w:numPr>
          <w:ilvl w:val="0"/>
          <w:numId w:val="32"/>
        </w:numPr>
        <w:autoSpaceDE w:val="0"/>
        <w:autoSpaceDN w:val="0"/>
        <w:adjustRightInd w:val="0"/>
        <w:spacing w:line="360" w:lineRule="auto"/>
        <w:rPr>
          <w:rStyle w:val="negritanovedades"/>
          <w:rFonts w:ascii="Arial" w:eastAsia="Times New Roman" w:hAnsi="Arial" w:cs="Arial"/>
          <w:color w:val="666666"/>
          <w:sz w:val="20"/>
          <w:szCs w:val="20"/>
          <w:lang w:val="es-AR" w:eastAsia="es-AR"/>
        </w:rPr>
      </w:pPr>
      <w:r w:rsidRPr="00E62DC2">
        <w:rPr>
          <w:rStyle w:val="negritanovedades"/>
          <w:rFonts w:ascii="Arial" w:eastAsia="Times New Roman" w:hAnsi="Arial" w:cs="Arial"/>
          <w:color w:val="666666"/>
          <w:sz w:val="20"/>
          <w:szCs w:val="20"/>
          <w:lang w:val="es-AR" w:eastAsia="es-AR"/>
        </w:rPr>
        <w:t>35% para los Rangos 4 a 6, inclusive.</w:t>
      </w:r>
    </w:p>
    <w:p w:rsidR="00E62DC2" w:rsidRDefault="00E62DC2" w:rsidP="00E62DC2">
      <w:pPr>
        <w:pStyle w:val="Prrafodelista"/>
        <w:numPr>
          <w:ilvl w:val="0"/>
          <w:numId w:val="32"/>
        </w:numPr>
        <w:spacing w:line="360" w:lineRule="auto"/>
        <w:rPr>
          <w:rStyle w:val="negritanovedades"/>
          <w:rFonts w:ascii="Arial" w:eastAsia="Times New Roman" w:hAnsi="Arial" w:cs="Arial"/>
          <w:color w:val="666666"/>
          <w:sz w:val="20"/>
          <w:szCs w:val="20"/>
          <w:lang w:val="es-AR" w:eastAsia="es-AR"/>
        </w:rPr>
      </w:pPr>
      <w:r w:rsidRPr="00E62DC2">
        <w:rPr>
          <w:rStyle w:val="negritanovedades"/>
          <w:rFonts w:ascii="Arial" w:eastAsia="Times New Roman" w:hAnsi="Arial" w:cs="Arial"/>
          <w:color w:val="666666"/>
          <w:sz w:val="20"/>
          <w:szCs w:val="20"/>
          <w:lang w:val="es-AR" w:eastAsia="es-AR"/>
        </w:rPr>
        <w:t>44% para los Rangos 7 a 8, inclusive.</w:t>
      </w:r>
    </w:p>
    <w:p w:rsidR="00E62DC2" w:rsidRPr="00E62DC2" w:rsidRDefault="00E62DC2" w:rsidP="00E62DC2">
      <w:pPr>
        <w:pStyle w:val="Prrafodelista"/>
        <w:rPr>
          <w:rStyle w:val="negritanovedades"/>
          <w:rFonts w:ascii="Arial" w:eastAsia="Times New Roman" w:hAnsi="Arial" w:cs="Arial"/>
          <w:color w:val="666666"/>
          <w:sz w:val="20"/>
          <w:szCs w:val="20"/>
          <w:lang w:val="es-AR" w:eastAsia="es-AR"/>
        </w:rPr>
      </w:pPr>
    </w:p>
    <w:p w:rsidR="00E62DC2" w:rsidRDefault="00E62DC2" w:rsidP="00E62DC2">
      <w:pPr>
        <w:rPr>
          <w:rStyle w:val="negritanovedades"/>
          <w:rFonts w:ascii="Arial" w:eastAsia="Times New Roman" w:hAnsi="Arial" w:cs="Arial"/>
          <w:color w:val="666666"/>
          <w:sz w:val="20"/>
          <w:szCs w:val="20"/>
          <w:lang w:val="es-AR" w:eastAsia="es-AR"/>
        </w:rPr>
      </w:pPr>
      <w:r w:rsidRPr="00E62DC2">
        <w:rPr>
          <w:rStyle w:val="negritanovedades"/>
          <w:rFonts w:ascii="Arial" w:eastAsia="Times New Roman" w:hAnsi="Arial" w:cs="Arial"/>
          <w:color w:val="666666"/>
          <w:sz w:val="20"/>
          <w:szCs w:val="20"/>
          <w:lang w:val="es-AR" w:eastAsia="es-AR"/>
        </w:rPr>
        <w:t>IMPUESTO SOBRE LOS INGRESOS BRUTOS</w:t>
      </w:r>
    </w:p>
    <w:p w:rsidR="00E62DC2" w:rsidRPr="00E62DC2" w:rsidRDefault="00E62DC2" w:rsidP="00E62DC2">
      <w:pPr>
        <w:rPr>
          <w:rStyle w:val="negritanovedades"/>
          <w:rFonts w:ascii="Arial" w:eastAsia="Times New Roman" w:hAnsi="Arial" w:cs="Arial"/>
          <w:color w:val="666666"/>
          <w:sz w:val="20"/>
          <w:szCs w:val="20"/>
          <w:lang w:val="es-AR" w:eastAsia="es-AR"/>
        </w:rPr>
      </w:pPr>
    </w:p>
    <w:p w:rsidR="00E62DC2" w:rsidRDefault="00E62DC2" w:rsidP="00E62DC2">
      <w:pPr>
        <w:autoSpaceDE w:val="0"/>
        <w:autoSpaceDN w:val="0"/>
        <w:adjustRightInd w:val="0"/>
        <w:rPr>
          <w:rStyle w:val="negritanovedades"/>
          <w:rFonts w:ascii="Arial" w:eastAsia="Times New Roman" w:hAnsi="Arial" w:cs="Arial"/>
          <w:color w:val="666666"/>
          <w:sz w:val="20"/>
          <w:szCs w:val="20"/>
          <w:lang w:val="es-AR" w:eastAsia="es-AR"/>
        </w:rPr>
      </w:pPr>
      <w:r>
        <w:rPr>
          <w:rStyle w:val="negritanovedades"/>
          <w:rFonts w:ascii="Arial" w:eastAsia="Times New Roman" w:hAnsi="Arial" w:cs="Arial"/>
          <w:color w:val="666666"/>
          <w:sz w:val="20"/>
          <w:szCs w:val="20"/>
          <w:lang w:val="es-AR" w:eastAsia="es-AR"/>
        </w:rPr>
        <w:t>Fijase el</w:t>
      </w:r>
      <w:r w:rsidRPr="00E62DC2">
        <w:rPr>
          <w:rStyle w:val="negritanovedades"/>
          <w:rFonts w:ascii="Arial" w:eastAsia="Times New Roman" w:hAnsi="Arial" w:cs="Arial"/>
          <w:color w:val="666666"/>
          <w:sz w:val="20"/>
          <w:szCs w:val="20"/>
          <w:lang w:val="es-AR" w:eastAsia="es-AR"/>
        </w:rPr>
        <w:t xml:space="preserve"> 1,5%</w:t>
      </w:r>
      <w:r>
        <w:rPr>
          <w:rStyle w:val="negritanovedades"/>
          <w:rFonts w:ascii="Arial" w:eastAsia="Times New Roman" w:hAnsi="Arial" w:cs="Arial"/>
          <w:color w:val="666666"/>
          <w:sz w:val="20"/>
          <w:szCs w:val="20"/>
          <w:lang w:val="es-AR" w:eastAsia="es-AR"/>
        </w:rPr>
        <w:t xml:space="preserve"> a:</w:t>
      </w:r>
    </w:p>
    <w:p w:rsidR="00E62DC2" w:rsidRDefault="00E62DC2" w:rsidP="00E62DC2">
      <w:pPr>
        <w:autoSpaceDE w:val="0"/>
        <w:autoSpaceDN w:val="0"/>
        <w:adjustRightInd w:val="0"/>
        <w:rPr>
          <w:rStyle w:val="negritanovedades"/>
          <w:rFonts w:ascii="Arial" w:eastAsia="Times New Roman" w:hAnsi="Arial" w:cs="Arial"/>
          <w:color w:val="666666"/>
          <w:sz w:val="20"/>
          <w:szCs w:val="20"/>
          <w:lang w:val="es-AR" w:eastAsia="es-AR"/>
        </w:rPr>
      </w:pPr>
    </w:p>
    <w:p w:rsidR="00E62DC2" w:rsidRPr="00E62DC2" w:rsidRDefault="00E62DC2" w:rsidP="00E62DC2">
      <w:pPr>
        <w:pStyle w:val="Prrafodelista"/>
        <w:numPr>
          <w:ilvl w:val="0"/>
          <w:numId w:val="33"/>
        </w:numPr>
        <w:autoSpaceDE w:val="0"/>
        <w:autoSpaceDN w:val="0"/>
        <w:adjustRightInd w:val="0"/>
        <w:spacing w:line="360" w:lineRule="auto"/>
        <w:rPr>
          <w:rStyle w:val="negritanovedades"/>
          <w:rFonts w:ascii="Arial" w:eastAsia="Times New Roman" w:hAnsi="Arial" w:cs="Arial"/>
          <w:color w:val="666666"/>
          <w:sz w:val="20"/>
          <w:szCs w:val="20"/>
          <w:lang w:val="es-AR" w:eastAsia="es-AR"/>
        </w:rPr>
      </w:pPr>
      <w:r w:rsidRPr="00E62DC2">
        <w:rPr>
          <w:rStyle w:val="negritanovedades"/>
          <w:rFonts w:ascii="Arial" w:eastAsia="Times New Roman" w:hAnsi="Arial" w:cs="Arial"/>
          <w:color w:val="666666"/>
          <w:sz w:val="20"/>
          <w:szCs w:val="20"/>
          <w:lang w:val="es-AR" w:eastAsia="es-AR"/>
        </w:rPr>
        <w:t>Transporte de cargas y pasajeros cuando para el ejercicio de la actividad se afecten</w:t>
      </w:r>
    </w:p>
    <w:p w:rsidR="00E62DC2" w:rsidRPr="00E62DC2" w:rsidRDefault="00E62DC2" w:rsidP="00E62DC2">
      <w:pPr>
        <w:spacing w:line="360" w:lineRule="auto"/>
        <w:rPr>
          <w:rStyle w:val="negritanovedades"/>
          <w:rFonts w:ascii="Arial" w:eastAsia="Times New Roman" w:hAnsi="Arial" w:cs="Arial"/>
          <w:color w:val="666666"/>
          <w:sz w:val="20"/>
          <w:szCs w:val="20"/>
          <w:lang w:val="es-AR" w:eastAsia="es-AR"/>
        </w:rPr>
      </w:pPr>
      <w:proofErr w:type="gramStart"/>
      <w:r w:rsidRPr="00E62DC2">
        <w:rPr>
          <w:rStyle w:val="negritanovedades"/>
          <w:rFonts w:ascii="Arial" w:eastAsia="Times New Roman" w:hAnsi="Arial" w:cs="Arial"/>
          <w:color w:val="666666"/>
          <w:sz w:val="20"/>
          <w:szCs w:val="20"/>
          <w:lang w:val="es-AR" w:eastAsia="es-AR"/>
        </w:rPr>
        <w:t>vehículos</w:t>
      </w:r>
      <w:proofErr w:type="gramEnd"/>
      <w:r w:rsidRPr="00E62DC2">
        <w:rPr>
          <w:rStyle w:val="negritanovedades"/>
          <w:rFonts w:ascii="Arial" w:eastAsia="Times New Roman" w:hAnsi="Arial" w:cs="Arial"/>
          <w:color w:val="666666"/>
          <w:sz w:val="20"/>
          <w:szCs w:val="20"/>
          <w:lang w:val="es-AR" w:eastAsia="es-AR"/>
        </w:rPr>
        <w:t xml:space="preserve"> radicados en jurisdicción de la</w:t>
      </w:r>
      <w:r>
        <w:rPr>
          <w:rStyle w:val="negritanovedades"/>
          <w:rFonts w:ascii="Arial" w:eastAsia="Times New Roman" w:hAnsi="Arial" w:cs="Arial"/>
          <w:color w:val="666666"/>
          <w:sz w:val="20"/>
          <w:szCs w:val="20"/>
          <w:lang w:val="es-AR" w:eastAsia="es-AR"/>
        </w:rPr>
        <w:t xml:space="preserve"> </w:t>
      </w:r>
      <w:r w:rsidRPr="00E62DC2">
        <w:rPr>
          <w:rStyle w:val="negritanovedades"/>
          <w:rFonts w:ascii="Arial" w:eastAsia="Times New Roman" w:hAnsi="Arial" w:cs="Arial"/>
          <w:color w:val="666666"/>
          <w:sz w:val="20"/>
          <w:szCs w:val="20"/>
          <w:lang w:val="es-AR" w:eastAsia="es-AR"/>
        </w:rPr>
        <w:t>provincia de Santa Fe.</w:t>
      </w:r>
    </w:p>
    <w:p w:rsidR="00E62DC2" w:rsidRPr="00E62DC2" w:rsidRDefault="00E62DC2" w:rsidP="00E62DC2">
      <w:pPr>
        <w:pStyle w:val="Prrafodelista"/>
        <w:numPr>
          <w:ilvl w:val="0"/>
          <w:numId w:val="33"/>
        </w:numPr>
        <w:spacing w:line="360" w:lineRule="auto"/>
        <w:rPr>
          <w:rStyle w:val="negritanovedades"/>
          <w:rFonts w:ascii="Arial" w:eastAsia="Times New Roman" w:hAnsi="Arial" w:cs="Arial"/>
          <w:color w:val="666666"/>
          <w:sz w:val="20"/>
          <w:szCs w:val="20"/>
          <w:lang w:val="es-AR" w:eastAsia="es-AR"/>
        </w:rPr>
      </w:pPr>
      <w:r w:rsidRPr="00E62DC2">
        <w:rPr>
          <w:rStyle w:val="negritanovedades"/>
          <w:rFonts w:ascii="Arial" w:eastAsia="Times New Roman" w:hAnsi="Arial" w:cs="Arial"/>
          <w:color w:val="666666"/>
          <w:sz w:val="20"/>
          <w:szCs w:val="20"/>
          <w:lang w:val="es-AR" w:eastAsia="es-AR"/>
        </w:rPr>
        <w:t xml:space="preserve">Las actividades industriales </w:t>
      </w:r>
      <w:r>
        <w:rPr>
          <w:rStyle w:val="negritanovedades"/>
          <w:rFonts w:ascii="Arial" w:eastAsia="Times New Roman" w:hAnsi="Arial" w:cs="Arial"/>
          <w:color w:val="666666"/>
          <w:sz w:val="20"/>
          <w:szCs w:val="20"/>
          <w:lang w:val="es-AR" w:eastAsia="es-AR"/>
        </w:rPr>
        <w:t xml:space="preserve">cuya facturación supero </w:t>
      </w:r>
      <w:r w:rsidRPr="00E62DC2">
        <w:rPr>
          <w:rStyle w:val="negritanovedades"/>
          <w:rFonts w:ascii="Arial" w:eastAsia="Times New Roman" w:hAnsi="Arial" w:cs="Arial"/>
          <w:color w:val="666666"/>
          <w:sz w:val="20"/>
          <w:szCs w:val="20"/>
          <w:lang w:val="es-AR" w:eastAsia="es-AR"/>
        </w:rPr>
        <w:t>$64.000.000.-</w:t>
      </w:r>
      <w:r>
        <w:rPr>
          <w:rStyle w:val="negritanovedades"/>
          <w:rFonts w:ascii="Arial" w:eastAsia="Times New Roman" w:hAnsi="Arial" w:cs="Arial"/>
          <w:color w:val="666666"/>
          <w:sz w:val="20"/>
          <w:szCs w:val="20"/>
          <w:lang w:val="es-AR" w:eastAsia="es-AR"/>
        </w:rPr>
        <w:t xml:space="preserve"> en el año anterior </w:t>
      </w:r>
    </w:p>
    <w:p w:rsidR="00E62DC2" w:rsidRDefault="00E62DC2" w:rsidP="00E62DC2">
      <w:pPr>
        <w:spacing w:line="360" w:lineRule="auto"/>
        <w:rPr>
          <w:rStyle w:val="negritanovedades"/>
          <w:rFonts w:ascii="Arial" w:eastAsia="Times New Roman" w:hAnsi="Arial" w:cs="Arial"/>
          <w:color w:val="666666"/>
          <w:sz w:val="20"/>
          <w:szCs w:val="20"/>
          <w:lang w:val="es-AR" w:eastAsia="es-AR"/>
        </w:rPr>
      </w:pPr>
      <w:r>
        <w:rPr>
          <w:rStyle w:val="negritanovedades"/>
          <w:rFonts w:ascii="Arial" w:eastAsia="Times New Roman" w:hAnsi="Arial" w:cs="Arial"/>
          <w:color w:val="666666"/>
          <w:sz w:val="20"/>
          <w:szCs w:val="20"/>
          <w:lang w:val="es-AR" w:eastAsia="es-AR"/>
        </w:rPr>
        <w:t>Fijase el</w:t>
      </w:r>
      <w:r w:rsidRPr="00E62DC2">
        <w:rPr>
          <w:rStyle w:val="negritanovedades"/>
          <w:rFonts w:ascii="Arial" w:eastAsia="Times New Roman" w:hAnsi="Arial" w:cs="Arial"/>
          <w:color w:val="666666"/>
          <w:sz w:val="20"/>
          <w:szCs w:val="20"/>
          <w:lang w:val="es-AR" w:eastAsia="es-AR"/>
        </w:rPr>
        <w:t xml:space="preserve"> 2%</w:t>
      </w:r>
    </w:p>
    <w:p w:rsidR="00E62DC2" w:rsidRPr="00E62DC2" w:rsidRDefault="00E62DC2" w:rsidP="00E62DC2">
      <w:pPr>
        <w:pStyle w:val="Prrafodelista"/>
        <w:numPr>
          <w:ilvl w:val="0"/>
          <w:numId w:val="33"/>
        </w:numPr>
        <w:autoSpaceDE w:val="0"/>
        <w:autoSpaceDN w:val="0"/>
        <w:adjustRightInd w:val="0"/>
        <w:spacing w:line="360" w:lineRule="auto"/>
        <w:rPr>
          <w:rStyle w:val="negritanovedades"/>
          <w:rFonts w:ascii="Arial" w:eastAsia="Times New Roman" w:hAnsi="Arial" w:cs="Arial"/>
          <w:color w:val="666666"/>
          <w:sz w:val="20"/>
          <w:szCs w:val="20"/>
          <w:lang w:val="es-AR" w:eastAsia="es-AR"/>
        </w:rPr>
      </w:pPr>
      <w:r w:rsidRPr="00E62DC2">
        <w:rPr>
          <w:rStyle w:val="negritanovedades"/>
          <w:rFonts w:ascii="Arial" w:eastAsia="Times New Roman" w:hAnsi="Arial" w:cs="Arial"/>
          <w:color w:val="666666"/>
          <w:sz w:val="20"/>
          <w:szCs w:val="20"/>
          <w:lang w:val="es-AR" w:eastAsia="es-AR"/>
        </w:rPr>
        <w:t>Comercio al por mayor y menor de agroquímicos, semillas y fertilizantes.</w:t>
      </w:r>
    </w:p>
    <w:p w:rsidR="00E62DC2" w:rsidRPr="00E62DC2" w:rsidRDefault="00E62DC2" w:rsidP="00E62DC2">
      <w:pPr>
        <w:pStyle w:val="Prrafodelista"/>
        <w:numPr>
          <w:ilvl w:val="0"/>
          <w:numId w:val="33"/>
        </w:numPr>
        <w:autoSpaceDE w:val="0"/>
        <w:autoSpaceDN w:val="0"/>
        <w:adjustRightInd w:val="0"/>
        <w:spacing w:line="360" w:lineRule="auto"/>
        <w:rPr>
          <w:rStyle w:val="negritanovedades"/>
          <w:rFonts w:ascii="Arial" w:eastAsia="Times New Roman" w:hAnsi="Arial" w:cs="Arial"/>
          <w:color w:val="666666"/>
          <w:sz w:val="20"/>
          <w:szCs w:val="20"/>
          <w:lang w:val="es-AR" w:eastAsia="es-AR"/>
        </w:rPr>
      </w:pPr>
      <w:r w:rsidRPr="00E62DC2">
        <w:rPr>
          <w:rStyle w:val="negritanovedades"/>
          <w:rFonts w:ascii="Arial" w:eastAsia="Times New Roman" w:hAnsi="Arial" w:cs="Arial"/>
          <w:color w:val="666666"/>
          <w:sz w:val="20"/>
          <w:szCs w:val="20"/>
          <w:lang w:val="es-AR" w:eastAsia="es-AR"/>
        </w:rPr>
        <w:t>La construcción de inmuebles.</w:t>
      </w:r>
    </w:p>
    <w:p w:rsidR="00E62DC2" w:rsidRPr="00E62DC2" w:rsidRDefault="00E62DC2" w:rsidP="00E62DC2">
      <w:pPr>
        <w:pStyle w:val="Prrafodelista"/>
        <w:numPr>
          <w:ilvl w:val="0"/>
          <w:numId w:val="33"/>
        </w:numPr>
        <w:autoSpaceDE w:val="0"/>
        <w:autoSpaceDN w:val="0"/>
        <w:adjustRightInd w:val="0"/>
        <w:spacing w:line="360" w:lineRule="auto"/>
        <w:rPr>
          <w:rStyle w:val="negritanovedades"/>
          <w:rFonts w:ascii="Arial" w:eastAsia="Times New Roman" w:hAnsi="Arial" w:cs="Arial"/>
          <w:color w:val="666666"/>
          <w:sz w:val="20"/>
          <w:szCs w:val="20"/>
          <w:lang w:val="es-AR" w:eastAsia="es-AR"/>
        </w:rPr>
      </w:pPr>
      <w:r w:rsidRPr="00E62DC2">
        <w:rPr>
          <w:rStyle w:val="negritanovedades"/>
          <w:rFonts w:ascii="Arial" w:eastAsia="Times New Roman" w:hAnsi="Arial" w:cs="Arial"/>
          <w:color w:val="666666"/>
          <w:sz w:val="20"/>
          <w:szCs w:val="20"/>
          <w:lang w:val="es-AR" w:eastAsia="es-AR"/>
        </w:rPr>
        <w:t>Transporte de cargas y pasajeros</w:t>
      </w:r>
    </w:p>
    <w:p w:rsidR="00E62DC2" w:rsidRPr="00E62DC2" w:rsidRDefault="00E62DC2" w:rsidP="00E62DC2">
      <w:pPr>
        <w:pStyle w:val="Prrafodelista"/>
        <w:numPr>
          <w:ilvl w:val="0"/>
          <w:numId w:val="33"/>
        </w:numPr>
        <w:spacing w:line="360" w:lineRule="auto"/>
        <w:rPr>
          <w:rStyle w:val="negritanovedades"/>
          <w:rFonts w:ascii="Arial" w:eastAsia="Times New Roman" w:hAnsi="Arial" w:cs="Arial"/>
          <w:color w:val="666666"/>
          <w:sz w:val="20"/>
          <w:szCs w:val="20"/>
          <w:lang w:val="es-AR" w:eastAsia="es-AR"/>
        </w:rPr>
      </w:pPr>
      <w:r>
        <w:rPr>
          <w:rStyle w:val="negritanovedades"/>
          <w:rFonts w:ascii="Arial" w:eastAsia="Times New Roman" w:hAnsi="Arial" w:cs="Arial"/>
          <w:color w:val="666666"/>
          <w:sz w:val="20"/>
          <w:szCs w:val="20"/>
          <w:lang w:val="es-AR" w:eastAsia="es-AR"/>
        </w:rPr>
        <w:t>I</w:t>
      </w:r>
      <w:r w:rsidRPr="00E62DC2">
        <w:rPr>
          <w:rStyle w:val="negritanovedades"/>
          <w:rFonts w:ascii="Arial" w:eastAsia="Times New Roman" w:hAnsi="Arial" w:cs="Arial"/>
          <w:color w:val="666666"/>
          <w:sz w:val="20"/>
          <w:szCs w:val="20"/>
          <w:lang w:val="es-AR" w:eastAsia="es-AR"/>
        </w:rPr>
        <w:t>ndustriali</w:t>
      </w:r>
      <w:r>
        <w:rPr>
          <w:rStyle w:val="negritanovedades"/>
          <w:rFonts w:ascii="Arial" w:eastAsia="Times New Roman" w:hAnsi="Arial" w:cs="Arial"/>
          <w:color w:val="666666"/>
          <w:sz w:val="20"/>
          <w:szCs w:val="20"/>
          <w:lang w:val="es-AR" w:eastAsia="es-AR"/>
        </w:rPr>
        <w:t>zación</w:t>
      </w:r>
      <w:r w:rsidRPr="00E62DC2">
        <w:rPr>
          <w:rStyle w:val="negritanovedades"/>
          <w:rFonts w:ascii="Arial" w:eastAsia="Times New Roman" w:hAnsi="Arial" w:cs="Arial"/>
          <w:color w:val="666666"/>
          <w:sz w:val="20"/>
          <w:szCs w:val="20"/>
          <w:lang w:val="es-AR" w:eastAsia="es-AR"/>
        </w:rPr>
        <w:t xml:space="preserve"> de transforma</w:t>
      </w:r>
      <w:r>
        <w:rPr>
          <w:rStyle w:val="negritanovedades"/>
          <w:rFonts w:ascii="Arial" w:eastAsia="Times New Roman" w:hAnsi="Arial" w:cs="Arial"/>
          <w:color w:val="666666"/>
          <w:sz w:val="20"/>
          <w:szCs w:val="20"/>
          <w:lang w:val="es-AR" w:eastAsia="es-AR"/>
        </w:rPr>
        <w:t>ción de cereales y oleaginosas.</w:t>
      </w:r>
    </w:p>
    <w:p w:rsidR="00E62DC2" w:rsidRDefault="00E62DC2" w:rsidP="00E62DC2">
      <w:pPr>
        <w:autoSpaceDE w:val="0"/>
        <w:autoSpaceDN w:val="0"/>
        <w:adjustRightInd w:val="0"/>
        <w:rPr>
          <w:rStyle w:val="negritanovedades"/>
          <w:rFonts w:ascii="Arial" w:eastAsia="Times New Roman" w:hAnsi="Arial" w:cs="Arial"/>
          <w:color w:val="666666"/>
          <w:sz w:val="20"/>
          <w:szCs w:val="20"/>
          <w:lang w:val="es-AR" w:eastAsia="es-AR"/>
        </w:rPr>
      </w:pPr>
      <w:r>
        <w:rPr>
          <w:rStyle w:val="negritanovedades"/>
          <w:rFonts w:ascii="Arial" w:eastAsia="Times New Roman" w:hAnsi="Arial" w:cs="Arial"/>
          <w:color w:val="666666"/>
          <w:sz w:val="20"/>
          <w:szCs w:val="20"/>
          <w:lang w:val="es-AR" w:eastAsia="es-AR"/>
        </w:rPr>
        <w:t xml:space="preserve">Fijase el </w:t>
      </w:r>
      <w:r w:rsidRPr="00E62DC2">
        <w:rPr>
          <w:rStyle w:val="negritanovedades"/>
          <w:rFonts w:ascii="Arial" w:eastAsia="Times New Roman" w:hAnsi="Arial" w:cs="Arial"/>
          <w:color w:val="666666"/>
          <w:sz w:val="20"/>
          <w:szCs w:val="20"/>
          <w:lang w:val="es-AR" w:eastAsia="es-AR"/>
        </w:rPr>
        <w:t>7%</w:t>
      </w:r>
      <w:r>
        <w:rPr>
          <w:rStyle w:val="negritanovedades"/>
          <w:rFonts w:ascii="Arial" w:eastAsia="Times New Roman" w:hAnsi="Arial" w:cs="Arial"/>
          <w:color w:val="666666"/>
          <w:sz w:val="20"/>
          <w:szCs w:val="20"/>
          <w:lang w:val="es-AR" w:eastAsia="es-AR"/>
        </w:rPr>
        <w:t xml:space="preserve"> a:</w:t>
      </w:r>
    </w:p>
    <w:p w:rsidR="00E62DC2" w:rsidRDefault="00E62DC2" w:rsidP="00E62DC2">
      <w:pPr>
        <w:autoSpaceDE w:val="0"/>
        <w:autoSpaceDN w:val="0"/>
        <w:adjustRightInd w:val="0"/>
        <w:rPr>
          <w:rStyle w:val="negritanovedades"/>
          <w:rFonts w:ascii="Arial" w:eastAsia="Times New Roman" w:hAnsi="Arial" w:cs="Arial"/>
          <w:color w:val="666666"/>
          <w:sz w:val="20"/>
          <w:szCs w:val="20"/>
          <w:lang w:val="es-AR" w:eastAsia="es-AR"/>
        </w:rPr>
      </w:pPr>
    </w:p>
    <w:p w:rsidR="00E62DC2" w:rsidRDefault="00E62DC2" w:rsidP="00E62DC2">
      <w:pPr>
        <w:pStyle w:val="Prrafodelista"/>
        <w:numPr>
          <w:ilvl w:val="0"/>
          <w:numId w:val="34"/>
        </w:numPr>
        <w:autoSpaceDE w:val="0"/>
        <w:autoSpaceDN w:val="0"/>
        <w:adjustRightInd w:val="0"/>
        <w:spacing w:line="360" w:lineRule="auto"/>
        <w:jc w:val="both"/>
        <w:rPr>
          <w:rStyle w:val="negritanovedades"/>
          <w:rFonts w:ascii="Arial" w:eastAsia="Times New Roman" w:hAnsi="Arial" w:cs="Arial"/>
          <w:color w:val="666666"/>
          <w:sz w:val="20"/>
          <w:szCs w:val="20"/>
          <w:lang w:val="es-AR" w:eastAsia="es-AR"/>
        </w:rPr>
      </w:pPr>
      <w:r w:rsidRPr="00E62DC2">
        <w:rPr>
          <w:rStyle w:val="negritanovedades"/>
          <w:rFonts w:ascii="Arial" w:eastAsia="Times New Roman" w:hAnsi="Arial" w:cs="Arial"/>
          <w:color w:val="666666"/>
          <w:sz w:val="20"/>
          <w:szCs w:val="20"/>
          <w:lang w:val="es-AR" w:eastAsia="es-AR"/>
        </w:rPr>
        <w:t>Préstamos de dinero, descuento de documentos de terceros y demás operaciones efectuadas por los bancos y otras instituciones financieras comprendidas en la Ley Nacional N° 21.526</w:t>
      </w:r>
    </w:p>
    <w:p w:rsidR="00E62DC2" w:rsidRDefault="002D335C" w:rsidP="002D335C">
      <w:pPr>
        <w:autoSpaceDE w:val="0"/>
        <w:autoSpaceDN w:val="0"/>
        <w:adjustRightInd w:val="0"/>
        <w:spacing w:line="360" w:lineRule="auto"/>
        <w:jc w:val="both"/>
        <w:rPr>
          <w:rStyle w:val="negritanovedades"/>
          <w:rFonts w:ascii="Arial" w:eastAsia="Times New Roman" w:hAnsi="Arial" w:cs="Arial"/>
          <w:color w:val="666666"/>
          <w:sz w:val="20"/>
          <w:szCs w:val="20"/>
          <w:lang w:val="es-AR" w:eastAsia="es-AR"/>
        </w:rPr>
      </w:pPr>
      <w:r>
        <w:rPr>
          <w:rStyle w:val="negritanovedades"/>
          <w:rFonts w:ascii="Arial" w:eastAsia="Times New Roman" w:hAnsi="Arial" w:cs="Arial"/>
          <w:color w:val="666666"/>
          <w:sz w:val="20"/>
          <w:szCs w:val="20"/>
          <w:lang w:val="es-AR" w:eastAsia="es-AR"/>
        </w:rPr>
        <w:t>Impuestos mínimos</w:t>
      </w:r>
    </w:p>
    <w:tbl>
      <w:tblPr>
        <w:tblW w:w="6900" w:type="dxa"/>
        <w:tblInd w:w="55" w:type="dxa"/>
        <w:tblCellMar>
          <w:left w:w="70" w:type="dxa"/>
          <w:right w:w="70" w:type="dxa"/>
        </w:tblCellMar>
        <w:tblLook w:val="04A0"/>
      </w:tblPr>
      <w:tblGrid>
        <w:gridCol w:w="2360"/>
        <w:gridCol w:w="2440"/>
        <w:gridCol w:w="1100"/>
        <w:gridCol w:w="1000"/>
      </w:tblGrid>
      <w:tr w:rsidR="002D335C" w:rsidRPr="002D335C" w:rsidTr="002D335C">
        <w:trPr>
          <w:trHeight w:val="300"/>
        </w:trPr>
        <w:tc>
          <w:tcPr>
            <w:tcW w:w="2360" w:type="dxa"/>
            <w:tcBorders>
              <w:top w:val="nil"/>
              <w:left w:val="nil"/>
              <w:bottom w:val="nil"/>
              <w:right w:val="nil"/>
            </w:tcBorders>
            <w:shd w:val="clear" w:color="auto" w:fill="auto"/>
            <w:noWrap/>
            <w:vAlign w:val="bottom"/>
            <w:hideMark/>
          </w:tcPr>
          <w:p w:rsidR="002D335C" w:rsidRPr="002D335C" w:rsidRDefault="002D335C" w:rsidP="002D335C">
            <w:pPr>
              <w:jc w:val="center"/>
              <w:rPr>
                <w:rFonts w:ascii="Calibri" w:eastAsia="Times New Roman" w:hAnsi="Calibri"/>
                <w:b/>
                <w:bCs/>
                <w:color w:val="000000"/>
                <w:sz w:val="20"/>
                <w:szCs w:val="20"/>
                <w:lang w:val="es-AR" w:eastAsia="es-AR"/>
              </w:rPr>
            </w:pPr>
            <w:r w:rsidRPr="002D335C">
              <w:rPr>
                <w:rFonts w:ascii="Calibri" w:eastAsia="Times New Roman" w:hAnsi="Calibri"/>
                <w:b/>
                <w:bCs/>
                <w:color w:val="000000"/>
                <w:sz w:val="20"/>
                <w:szCs w:val="20"/>
                <w:lang w:val="es-AR" w:eastAsia="es-AR"/>
              </w:rPr>
              <w:t xml:space="preserve">Nº Titulares o </w:t>
            </w:r>
            <w:proofErr w:type="spellStart"/>
            <w:r w:rsidRPr="002D335C">
              <w:rPr>
                <w:rFonts w:ascii="Calibri" w:eastAsia="Times New Roman" w:hAnsi="Calibri"/>
                <w:b/>
                <w:bCs/>
                <w:color w:val="000000"/>
                <w:sz w:val="20"/>
                <w:szCs w:val="20"/>
                <w:lang w:val="es-AR" w:eastAsia="es-AR"/>
              </w:rPr>
              <w:t>Empledos</w:t>
            </w:r>
            <w:proofErr w:type="spellEnd"/>
          </w:p>
        </w:tc>
        <w:tc>
          <w:tcPr>
            <w:tcW w:w="2440" w:type="dxa"/>
            <w:tcBorders>
              <w:top w:val="nil"/>
              <w:left w:val="nil"/>
              <w:bottom w:val="nil"/>
              <w:right w:val="nil"/>
            </w:tcBorders>
            <w:shd w:val="clear" w:color="auto" w:fill="auto"/>
            <w:noWrap/>
            <w:vAlign w:val="bottom"/>
            <w:hideMark/>
          </w:tcPr>
          <w:p w:rsidR="002D335C" w:rsidRPr="002D335C" w:rsidRDefault="002D335C" w:rsidP="002D335C">
            <w:pPr>
              <w:jc w:val="center"/>
              <w:rPr>
                <w:rFonts w:ascii="Calibri" w:eastAsia="Times New Roman" w:hAnsi="Calibri"/>
                <w:b/>
                <w:bCs/>
                <w:color w:val="000000"/>
                <w:sz w:val="20"/>
                <w:szCs w:val="20"/>
                <w:lang w:val="es-AR" w:eastAsia="es-AR"/>
              </w:rPr>
            </w:pPr>
            <w:r w:rsidRPr="002D335C">
              <w:rPr>
                <w:rFonts w:ascii="Calibri" w:eastAsia="Times New Roman" w:hAnsi="Calibri"/>
                <w:b/>
                <w:bCs/>
                <w:color w:val="000000"/>
                <w:sz w:val="20"/>
                <w:szCs w:val="20"/>
                <w:lang w:val="es-AR" w:eastAsia="es-AR"/>
              </w:rPr>
              <w:t>Industria</w:t>
            </w:r>
          </w:p>
        </w:tc>
        <w:tc>
          <w:tcPr>
            <w:tcW w:w="1100" w:type="dxa"/>
            <w:tcBorders>
              <w:top w:val="nil"/>
              <w:left w:val="nil"/>
              <w:bottom w:val="nil"/>
              <w:right w:val="nil"/>
            </w:tcBorders>
            <w:shd w:val="clear" w:color="auto" w:fill="auto"/>
            <w:noWrap/>
            <w:vAlign w:val="bottom"/>
            <w:hideMark/>
          </w:tcPr>
          <w:p w:rsidR="002D335C" w:rsidRPr="002D335C" w:rsidRDefault="002D335C" w:rsidP="002D335C">
            <w:pPr>
              <w:jc w:val="center"/>
              <w:rPr>
                <w:rFonts w:ascii="Calibri" w:eastAsia="Times New Roman" w:hAnsi="Calibri"/>
                <w:b/>
                <w:bCs/>
                <w:color w:val="000000"/>
                <w:sz w:val="20"/>
                <w:szCs w:val="20"/>
                <w:lang w:val="es-AR" w:eastAsia="es-AR"/>
              </w:rPr>
            </w:pPr>
            <w:r w:rsidRPr="002D335C">
              <w:rPr>
                <w:rFonts w:ascii="Calibri" w:eastAsia="Times New Roman" w:hAnsi="Calibri"/>
                <w:b/>
                <w:bCs/>
                <w:color w:val="000000"/>
                <w:sz w:val="20"/>
                <w:szCs w:val="20"/>
                <w:lang w:val="es-AR" w:eastAsia="es-AR"/>
              </w:rPr>
              <w:t>Comercio</w:t>
            </w:r>
          </w:p>
        </w:tc>
        <w:tc>
          <w:tcPr>
            <w:tcW w:w="1000" w:type="dxa"/>
            <w:tcBorders>
              <w:top w:val="nil"/>
              <w:left w:val="nil"/>
              <w:bottom w:val="nil"/>
              <w:right w:val="nil"/>
            </w:tcBorders>
            <w:shd w:val="clear" w:color="auto" w:fill="auto"/>
            <w:noWrap/>
            <w:vAlign w:val="bottom"/>
            <w:hideMark/>
          </w:tcPr>
          <w:p w:rsidR="002D335C" w:rsidRPr="002D335C" w:rsidRDefault="002D335C" w:rsidP="002D335C">
            <w:pPr>
              <w:jc w:val="center"/>
              <w:rPr>
                <w:rFonts w:ascii="Calibri" w:eastAsia="Times New Roman" w:hAnsi="Calibri"/>
                <w:b/>
                <w:bCs/>
                <w:color w:val="000000"/>
                <w:sz w:val="20"/>
                <w:szCs w:val="20"/>
                <w:lang w:val="es-AR" w:eastAsia="es-AR"/>
              </w:rPr>
            </w:pPr>
            <w:r w:rsidRPr="002D335C">
              <w:rPr>
                <w:rFonts w:ascii="Calibri" w:eastAsia="Times New Roman" w:hAnsi="Calibri"/>
                <w:b/>
                <w:bCs/>
                <w:color w:val="000000"/>
                <w:sz w:val="20"/>
                <w:szCs w:val="20"/>
                <w:lang w:val="es-AR" w:eastAsia="es-AR"/>
              </w:rPr>
              <w:t>Servicios</w:t>
            </w:r>
          </w:p>
        </w:tc>
      </w:tr>
      <w:tr w:rsidR="002D335C" w:rsidRPr="002D335C" w:rsidTr="002D335C">
        <w:trPr>
          <w:trHeight w:val="300"/>
        </w:trPr>
        <w:tc>
          <w:tcPr>
            <w:tcW w:w="2360" w:type="dxa"/>
            <w:tcBorders>
              <w:top w:val="nil"/>
              <w:left w:val="nil"/>
              <w:bottom w:val="nil"/>
              <w:right w:val="nil"/>
            </w:tcBorders>
            <w:shd w:val="clear" w:color="auto" w:fill="auto"/>
            <w:noWrap/>
            <w:vAlign w:val="bottom"/>
            <w:hideMark/>
          </w:tcPr>
          <w:p w:rsidR="002D335C" w:rsidRPr="002D335C" w:rsidRDefault="002D335C" w:rsidP="002D335C">
            <w:pPr>
              <w:jc w:val="center"/>
              <w:rPr>
                <w:rFonts w:ascii="Arial" w:eastAsia="Times New Roman" w:hAnsi="Arial" w:cs="Arial"/>
                <w:color w:val="000000"/>
                <w:sz w:val="20"/>
                <w:szCs w:val="20"/>
                <w:lang w:val="es-AR" w:eastAsia="es-AR"/>
              </w:rPr>
            </w:pPr>
            <w:r w:rsidRPr="002D335C">
              <w:rPr>
                <w:rFonts w:ascii="Arial" w:eastAsia="Times New Roman" w:hAnsi="Arial" w:cs="Arial"/>
                <w:color w:val="000000"/>
                <w:sz w:val="20"/>
                <w:szCs w:val="20"/>
                <w:lang w:val="es-AR" w:eastAsia="en-US"/>
              </w:rPr>
              <w:t xml:space="preserve">1a2 </w:t>
            </w:r>
          </w:p>
        </w:tc>
        <w:tc>
          <w:tcPr>
            <w:tcW w:w="2440" w:type="dxa"/>
            <w:tcBorders>
              <w:top w:val="nil"/>
              <w:left w:val="nil"/>
              <w:bottom w:val="nil"/>
              <w:right w:val="nil"/>
            </w:tcBorders>
            <w:shd w:val="clear" w:color="auto" w:fill="auto"/>
            <w:noWrap/>
            <w:vAlign w:val="bottom"/>
            <w:hideMark/>
          </w:tcPr>
          <w:p w:rsidR="002D335C" w:rsidRPr="002D335C" w:rsidRDefault="002D335C" w:rsidP="002D335C">
            <w:pPr>
              <w:jc w:val="center"/>
              <w:rPr>
                <w:rFonts w:ascii="Calibri" w:eastAsia="Times New Roman" w:hAnsi="Calibri"/>
                <w:color w:val="000000"/>
                <w:sz w:val="20"/>
                <w:szCs w:val="20"/>
                <w:lang w:val="es-AR" w:eastAsia="es-AR"/>
              </w:rPr>
            </w:pPr>
            <w:r w:rsidRPr="002D335C">
              <w:rPr>
                <w:rFonts w:ascii="Calibri" w:eastAsia="Times New Roman" w:hAnsi="Calibri"/>
                <w:color w:val="000000"/>
                <w:sz w:val="20"/>
                <w:szCs w:val="20"/>
                <w:lang w:val="es-AR" w:eastAsia="es-AR"/>
              </w:rPr>
              <w:t>444</w:t>
            </w:r>
          </w:p>
        </w:tc>
        <w:tc>
          <w:tcPr>
            <w:tcW w:w="1100" w:type="dxa"/>
            <w:tcBorders>
              <w:top w:val="nil"/>
              <w:left w:val="nil"/>
              <w:bottom w:val="nil"/>
              <w:right w:val="nil"/>
            </w:tcBorders>
            <w:shd w:val="clear" w:color="auto" w:fill="auto"/>
            <w:noWrap/>
            <w:vAlign w:val="bottom"/>
            <w:hideMark/>
          </w:tcPr>
          <w:p w:rsidR="002D335C" w:rsidRPr="002D335C" w:rsidRDefault="002D335C" w:rsidP="002D335C">
            <w:pPr>
              <w:jc w:val="center"/>
              <w:rPr>
                <w:rFonts w:ascii="Calibri" w:eastAsia="Times New Roman" w:hAnsi="Calibri"/>
                <w:color w:val="000000"/>
                <w:sz w:val="20"/>
                <w:szCs w:val="20"/>
                <w:lang w:val="es-AR" w:eastAsia="es-AR"/>
              </w:rPr>
            </w:pPr>
            <w:r w:rsidRPr="002D335C">
              <w:rPr>
                <w:rFonts w:ascii="Calibri" w:eastAsia="Times New Roman" w:hAnsi="Calibri"/>
                <w:color w:val="000000"/>
                <w:sz w:val="20"/>
                <w:szCs w:val="20"/>
                <w:lang w:val="es-AR" w:eastAsia="es-AR"/>
              </w:rPr>
              <w:t>591</w:t>
            </w:r>
          </w:p>
        </w:tc>
        <w:tc>
          <w:tcPr>
            <w:tcW w:w="1000" w:type="dxa"/>
            <w:tcBorders>
              <w:top w:val="nil"/>
              <w:left w:val="nil"/>
              <w:bottom w:val="nil"/>
              <w:right w:val="nil"/>
            </w:tcBorders>
            <w:shd w:val="clear" w:color="auto" w:fill="auto"/>
            <w:noWrap/>
            <w:vAlign w:val="bottom"/>
            <w:hideMark/>
          </w:tcPr>
          <w:p w:rsidR="002D335C" w:rsidRPr="002D335C" w:rsidRDefault="002D335C" w:rsidP="002D335C">
            <w:pPr>
              <w:jc w:val="center"/>
              <w:rPr>
                <w:rFonts w:ascii="Calibri" w:eastAsia="Times New Roman" w:hAnsi="Calibri"/>
                <w:color w:val="000000"/>
                <w:sz w:val="20"/>
                <w:szCs w:val="20"/>
                <w:lang w:val="es-AR" w:eastAsia="es-AR"/>
              </w:rPr>
            </w:pPr>
            <w:r w:rsidRPr="002D335C">
              <w:rPr>
                <w:rFonts w:ascii="Calibri" w:eastAsia="Times New Roman" w:hAnsi="Calibri"/>
                <w:color w:val="000000"/>
                <w:sz w:val="20"/>
                <w:szCs w:val="20"/>
                <w:lang w:val="es-AR" w:eastAsia="es-AR"/>
              </w:rPr>
              <w:t>444</w:t>
            </w:r>
          </w:p>
        </w:tc>
      </w:tr>
      <w:tr w:rsidR="002D335C" w:rsidRPr="002D335C" w:rsidTr="002D335C">
        <w:trPr>
          <w:trHeight w:val="300"/>
        </w:trPr>
        <w:tc>
          <w:tcPr>
            <w:tcW w:w="2360" w:type="dxa"/>
            <w:tcBorders>
              <w:top w:val="nil"/>
              <w:left w:val="nil"/>
              <w:bottom w:val="nil"/>
              <w:right w:val="nil"/>
            </w:tcBorders>
            <w:shd w:val="clear" w:color="auto" w:fill="auto"/>
            <w:noWrap/>
            <w:vAlign w:val="bottom"/>
            <w:hideMark/>
          </w:tcPr>
          <w:p w:rsidR="002D335C" w:rsidRPr="002D335C" w:rsidRDefault="002D335C" w:rsidP="002D335C">
            <w:pPr>
              <w:jc w:val="center"/>
              <w:rPr>
                <w:rFonts w:ascii="Arial" w:eastAsia="Times New Roman" w:hAnsi="Arial" w:cs="Arial"/>
                <w:color w:val="000000"/>
                <w:sz w:val="20"/>
                <w:szCs w:val="20"/>
                <w:lang w:val="es-AR" w:eastAsia="es-AR"/>
              </w:rPr>
            </w:pPr>
            <w:r w:rsidRPr="002D335C">
              <w:rPr>
                <w:rFonts w:ascii="Arial" w:eastAsia="Times New Roman" w:hAnsi="Arial" w:cs="Arial"/>
                <w:color w:val="000000"/>
                <w:sz w:val="20"/>
                <w:szCs w:val="20"/>
                <w:lang w:val="es-AR" w:eastAsia="en-US"/>
              </w:rPr>
              <w:t xml:space="preserve">3a5 </w:t>
            </w:r>
          </w:p>
        </w:tc>
        <w:tc>
          <w:tcPr>
            <w:tcW w:w="2440" w:type="dxa"/>
            <w:tcBorders>
              <w:top w:val="nil"/>
              <w:left w:val="nil"/>
              <w:bottom w:val="nil"/>
              <w:right w:val="nil"/>
            </w:tcBorders>
            <w:shd w:val="clear" w:color="auto" w:fill="auto"/>
            <w:noWrap/>
            <w:vAlign w:val="bottom"/>
            <w:hideMark/>
          </w:tcPr>
          <w:p w:rsidR="002D335C" w:rsidRPr="002D335C" w:rsidRDefault="002D335C" w:rsidP="002D335C">
            <w:pPr>
              <w:jc w:val="center"/>
              <w:rPr>
                <w:rFonts w:ascii="Calibri" w:eastAsia="Times New Roman" w:hAnsi="Calibri"/>
                <w:color w:val="000000"/>
                <w:sz w:val="20"/>
                <w:szCs w:val="20"/>
                <w:lang w:val="es-AR" w:eastAsia="es-AR"/>
              </w:rPr>
            </w:pPr>
            <w:r w:rsidRPr="002D335C">
              <w:rPr>
                <w:rFonts w:ascii="Calibri" w:eastAsia="Times New Roman" w:hAnsi="Calibri"/>
                <w:color w:val="000000"/>
                <w:sz w:val="20"/>
                <w:szCs w:val="20"/>
                <w:lang w:val="es-AR" w:eastAsia="es-AR"/>
              </w:rPr>
              <w:t>793</w:t>
            </w:r>
          </w:p>
        </w:tc>
        <w:tc>
          <w:tcPr>
            <w:tcW w:w="1100" w:type="dxa"/>
            <w:tcBorders>
              <w:top w:val="nil"/>
              <w:left w:val="nil"/>
              <w:bottom w:val="nil"/>
              <w:right w:val="nil"/>
            </w:tcBorders>
            <w:shd w:val="clear" w:color="auto" w:fill="auto"/>
            <w:noWrap/>
            <w:vAlign w:val="bottom"/>
            <w:hideMark/>
          </w:tcPr>
          <w:p w:rsidR="002D335C" w:rsidRPr="002D335C" w:rsidRDefault="002D335C" w:rsidP="002D335C">
            <w:pPr>
              <w:jc w:val="center"/>
              <w:rPr>
                <w:rFonts w:ascii="Calibri" w:eastAsia="Times New Roman" w:hAnsi="Calibri"/>
                <w:color w:val="000000"/>
                <w:sz w:val="20"/>
                <w:szCs w:val="20"/>
                <w:lang w:val="es-AR" w:eastAsia="es-AR"/>
              </w:rPr>
            </w:pPr>
            <w:r w:rsidRPr="002D335C">
              <w:rPr>
                <w:rFonts w:ascii="Calibri" w:eastAsia="Times New Roman" w:hAnsi="Calibri"/>
                <w:color w:val="000000"/>
                <w:sz w:val="20"/>
                <w:szCs w:val="20"/>
                <w:lang w:val="es-AR" w:eastAsia="es-AR"/>
              </w:rPr>
              <w:t>1.512</w:t>
            </w:r>
          </w:p>
        </w:tc>
        <w:tc>
          <w:tcPr>
            <w:tcW w:w="1000" w:type="dxa"/>
            <w:tcBorders>
              <w:top w:val="nil"/>
              <w:left w:val="nil"/>
              <w:bottom w:val="nil"/>
              <w:right w:val="nil"/>
            </w:tcBorders>
            <w:shd w:val="clear" w:color="auto" w:fill="auto"/>
            <w:noWrap/>
            <w:vAlign w:val="bottom"/>
            <w:hideMark/>
          </w:tcPr>
          <w:p w:rsidR="002D335C" w:rsidRPr="002D335C" w:rsidRDefault="002D335C" w:rsidP="002D335C">
            <w:pPr>
              <w:jc w:val="center"/>
              <w:rPr>
                <w:rFonts w:ascii="Calibri" w:eastAsia="Times New Roman" w:hAnsi="Calibri"/>
                <w:color w:val="000000"/>
                <w:sz w:val="20"/>
                <w:szCs w:val="20"/>
                <w:lang w:val="es-AR" w:eastAsia="es-AR"/>
              </w:rPr>
            </w:pPr>
            <w:r w:rsidRPr="002D335C">
              <w:rPr>
                <w:rFonts w:ascii="Calibri" w:eastAsia="Times New Roman" w:hAnsi="Calibri"/>
                <w:color w:val="000000"/>
                <w:sz w:val="20"/>
                <w:szCs w:val="20"/>
                <w:lang w:val="es-AR" w:eastAsia="es-AR"/>
              </w:rPr>
              <w:t>724</w:t>
            </w:r>
          </w:p>
        </w:tc>
      </w:tr>
      <w:tr w:rsidR="002D335C" w:rsidRPr="002D335C" w:rsidTr="002D335C">
        <w:trPr>
          <w:trHeight w:val="300"/>
        </w:trPr>
        <w:tc>
          <w:tcPr>
            <w:tcW w:w="2360" w:type="dxa"/>
            <w:tcBorders>
              <w:top w:val="nil"/>
              <w:left w:val="nil"/>
              <w:bottom w:val="nil"/>
              <w:right w:val="nil"/>
            </w:tcBorders>
            <w:shd w:val="clear" w:color="auto" w:fill="auto"/>
            <w:noWrap/>
            <w:vAlign w:val="bottom"/>
            <w:hideMark/>
          </w:tcPr>
          <w:p w:rsidR="002D335C" w:rsidRPr="002D335C" w:rsidRDefault="002D335C" w:rsidP="002D335C">
            <w:pPr>
              <w:jc w:val="center"/>
              <w:rPr>
                <w:rFonts w:ascii="Arial" w:eastAsia="Times New Roman" w:hAnsi="Arial" w:cs="Arial"/>
                <w:color w:val="000000"/>
                <w:sz w:val="20"/>
                <w:szCs w:val="20"/>
                <w:lang w:val="es-AR" w:eastAsia="es-AR"/>
              </w:rPr>
            </w:pPr>
            <w:r w:rsidRPr="002D335C">
              <w:rPr>
                <w:rFonts w:ascii="Arial" w:eastAsia="Times New Roman" w:hAnsi="Arial" w:cs="Arial"/>
                <w:color w:val="000000"/>
                <w:sz w:val="20"/>
                <w:szCs w:val="20"/>
                <w:lang w:val="es-AR" w:eastAsia="en-US"/>
              </w:rPr>
              <w:t>6a 10</w:t>
            </w:r>
          </w:p>
        </w:tc>
        <w:tc>
          <w:tcPr>
            <w:tcW w:w="2440" w:type="dxa"/>
            <w:tcBorders>
              <w:top w:val="nil"/>
              <w:left w:val="nil"/>
              <w:bottom w:val="nil"/>
              <w:right w:val="nil"/>
            </w:tcBorders>
            <w:shd w:val="clear" w:color="auto" w:fill="auto"/>
            <w:noWrap/>
            <w:vAlign w:val="bottom"/>
            <w:hideMark/>
          </w:tcPr>
          <w:p w:rsidR="002D335C" w:rsidRPr="002D335C" w:rsidRDefault="002D335C" w:rsidP="002D335C">
            <w:pPr>
              <w:jc w:val="center"/>
              <w:rPr>
                <w:rFonts w:ascii="Calibri" w:eastAsia="Times New Roman" w:hAnsi="Calibri"/>
                <w:color w:val="000000"/>
                <w:sz w:val="20"/>
                <w:szCs w:val="20"/>
                <w:lang w:val="es-AR" w:eastAsia="es-AR"/>
              </w:rPr>
            </w:pPr>
            <w:r w:rsidRPr="002D335C">
              <w:rPr>
                <w:rFonts w:ascii="Calibri" w:eastAsia="Times New Roman" w:hAnsi="Calibri"/>
                <w:color w:val="000000"/>
                <w:sz w:val="20"/>
                <w:szCs w:val="20"/>
                <w:lang w:val="es-AR" w:eastAsia="es-AR"/>
              </w:rPr>
              <w:t>1.718</w:t>
            </w:r>
          </w:p>
        </w:tc>
        <w:tc>
          <w:tcPr>
            <w:tcW w:w="1100" w:type="dxa"/>
            <w:tcBorders>
              <w:top w:val="nil"/>
              <w:left w:val="nil"/>
              <w:bottom w:val="nil"/>
              <w:right w:val="nil"/>
            </w:tcBorders>
            <w:shd w:val="clear" w:color="auto" w:fill="auto"/>
            <w:noWrap/>
            <w:vAlign w:val="bottom"/>
            <w:hideMark/>
          </w:tcPr>
          <w:p w:rsidR="002D335C" w:rsidRPr="002D335C" w:rsidRDefault="002D335C" w:rsidP="002D335C">
            <w:pPr>
              <w:jc w:val="center"/>
              <w:rPr>
                <w:rFonts w:ascii="Calibri" w:eastAsia="Times New Roman" w:hAnsi="Calibri"/>
                <w:color w:val="000000"/>
                <w:sz w:val="20"/>
                <w:szCs w:val="20"/>
                <w:lang w:val="es-AR" w:eastAsia="es-AR"/>
              </w:rPr>
            </w:pPr>
            <w:r w:rsidRPr="002D335C">
              <w:rPr>
                <w:rFonts w:ascii="Calibri" w:eastAsia="Times New Roman" w:hAnsi="Calibri"/>
                <w:color w:val="000000"/>
                <w:sz w:val="20"/>
                <w:szCs w:val="20"/>
                <w:lang w:val="es-AR" w:eastAsia="es-AR"/>
              </w:rPr>
              <w:t>2.492</w:t>
            </w:r>
          </w:p>
        </w:tc>
        <w:tc>
          <w:tcPr>
            <w:tcW w:w="1000" w:type="dxa"/>
            <w:tcBorders>
              <w:top w:val="nil"/>
              <w:left w:val="nil"/>
              <w:bottom w:val="nil"/>
              <w:right w:val="nil"/>
            </w:tcBorders>
            <w:shd w:val="clear" w:color="auto" w:fill="auto"/>
            <w:noWrap/>
            <w:vAlign w:val="bottom"/>
            <w:hideMark/>
          </w:tcPr>
          <w:p w:rsidR="002D335C" w:rsidRPr="002D335C" w:rsidRDefault="002D335C" w:rsidP="002D335C">
            <w:pPr>
              <w:jc w:val="center"/>
              <w:rPr>
                <w:rFonts w:ascii="Calibri" w:eastAsia="Times New Roman" w:hAnsi="Calibri"/>
                <w:color w:val="000000"/>
                <w:sz w:val="20"/>
                <w:szCs w:val="20"/>
                <w:lang w:val="es-AR" w:eastAsia="es-AR"/>
              </w:rPr>
            </w:pPr>
            <w:r w:rsidRPr="002D335C">
              <w:rPr>
                <w:rFonts w:ascii="Calibri" w:eastAsia="Times New Roman" w:hAnsi="Calibri"/>
                <w:color w:val="000000"/>
                <w:sz w:val="20"/>
                <w:szCs w:val="20"/>
                <w:lang w:val="es-AR" w:eastAsia="es-AR"/>
              </w:rPr>
              <w:t>1.958</w:t>
            </w:r>
          </w:p>
        </w:tc>
      </w:tr>
      <w:tr w:rsidR="002D335C" w:rsidRPr="002D335C" w:rsidTr="002D335C">
        <w:trPr>
          <w:trHeight w:val="300"/>
        </w:trPr>
        <w:tc>
          <w:tcPr>
            <w:tcW w:w="2360" w:type="dxa"/>
            <w:tcBorders>
              <w:top w:val="nil"/>
              <w:left w:val="nil"/>
              <w:bottom w:val="nil"/>
              <w:right w:val="nil"/>
            </w:tcBorders>
            <w:shd w:val="clear" w:color="auto" w:fill="auto"/>
            <w:noWrap/>
            <w:vAlign w:val="bottom"/>
            <w:hideMark/>
          </w:tcPr>
          <w:p w:rsidR="002D335C" w:rsidRPr="002D335C" w:rsidRDefault="002D335C" w:rsidP="002D335C">
            <w:pPr>
              <w:jc w:val="center"/>
              <w:rPr>
                <w:rFonts w:ascii="Arial" w:eastAsia="Times New Roman" w:hAnsi="Arial" w:cs="Arial"/>
                <w:color w:val="000000"/>
                <w:sz w:val="20"/>
                <w:szCs w:val="20"/>
                <w:lang w:val="es-AR" w:eastAsia="es-AR"/>
              </w:rPr>
            </w:pPr>
            <w:r w:rsidRPr="002D335C">
              <w:rPr>
                <w:rFonts w:ascii="Arial" w:eastAsia="Times New Roman" w:hAnsi="Arial" w:cs="Arial"/>
                <w:color w:val="000000"/>
                <w:sz w:val="20"/>
                <w:szCs w:val="20"/>
                <w:lang w:val="es-AR" w:eastAsia="en-US"/>
              </w:rPr>
              <w:t>11 a20</w:t>
            </w:r>
          </w:p>
        </w:tc>
        <w:tc>
          <w:tcPr>
            <w:tcW w:w="2440" w:type="dxa"/>
            <w:tcBorders>
              <w:top w:val="nil"/>
              <w:left w:val="nil"/>
              <w:bottom w:val="nil"/>
              <w:right w:val="nil"/>
            </w:tcBorders>
            <w:shd w:val="clear" w:color="auto" w:fill="auto"/>
            <w:noWrap/>
            <w:vAlign w:val="bottom"/>
            <w:hideMark/>
          </w:tcPr>
          <w:p w:rsidR="002D335C" w:rsidRPr="002D335C" w:rsidRDefault="002D335C" w:rsidP="002D335C">
            <w:pPr>
              <w:jc w:val="center"/>
              <w:rPr>
                <w:rFonts w:ascii="Calibri" w:eastAsia="Times New Roman" w:hAnsi="Calibri"/>
                <w:color w:val="000000"/>
                <w:sz w:val="20"/>
                <w:szCs w:val="20"/>
                <w:lang w:val="es-AR" w:eastAsia="es-AR"/>
              </w:rPr>
            </w:pPr>
            <w:r w:rsidRPr="002D335C">
              <w:rPr>
                <w:rFonts w:ascii="Calibri" w:eastAsia="Times New Roman" w:hAnsi="Calibri"/>
                <w:color w:val="000000"/>
                <w:sz w:val="20"/>
                <w:szCs w:val="20"/>
                <w:lang w:val="es-AR" w:eastAsia="es-AR"/>
              </w:rPr>
              <w:t>3.013</w:t>
            </w:r>
          </w:p>
        </w:tc>
        <w:tc>
          <w:tcPr>
            <w:tcW w:w="1100" w:type="dxa"/>
            <w:tcBorders>
              <w:top w:val="nil"/>
              <w:left w:val="nil"/>
              <w:bottom w:val="nil"/>
              <w:right w:val="nil"/>
            </w:tcBorders>
            <w:shd w:val="clear" w:color="auto" w:fill="auto"/>
            <w:noWrap/>
            <w:vAlign w:val="bottom"/>
            <w:hideMark/>
          </w:tcPr>
          <w:p w:rsidR="002D335C" w:rsidRPr="002D335C" w:rsidRDefault="002D335C" w:rsidP="002D335C">
            <w:pPr>
              <w:jc w:val="center"/>
              <w:rPr>
                <w:rFonts w:ascii="Calibri" w:eastAsia="Times New Roman" w:hAnsi="Calibri"/>
                <w:color w:val="000000"/>
                <w:sz w:val="20"/>
                <w:szCs w:val="20"/>
                <w:lang w:val="es-AR" w:eastAsia="es-AR"/>
              </w:rPr>
            </w:pPr>
            <w:r w:rsidRPr="002D335C">
              <w:rPr>
                <w:rFonts w:ascii="Calibri" w:eastAsia="Times New Roman" w:hAnsi="Calibri"/>
                <w:color w:val="000000"/>
                <w:sz w:val="20"/>
                <w:szCs w:val="20"/>
                <w:lang w:val="es-AR" w:eastAsia="es-AR"/>
              </w:rPr>
              <w:t>4.193</w:t>
            </w:r>
          </w:p>
        </w:tc>
        <w:tc>
          <w:tcPr>
            <w:tcW w:w="1000" w:type="dxa"/>
            <w:tcBorders>
              <w:top w:val="nil"/>
              <w:left w:val="nil"/>
              <w:bottom w:val="nil"/>
              <w:right w:val="nil"/>
            </w:tcBorders>
            <w:shd w:val="clear" w:color="auto" w:fill="auto"/>
            <w:noWrap/>
            <w:vAlign w:val="bottom"/>
            <w:hideMark/>
          </w:tcPr>
          <w:p w:rsidR="002D335C" w:rsidRPr="002D335C" w:rsidRDefault="002D335C" w:rsidP="002D335C">
            <w:pPr>
              <w:jc w:val="center"/>
              <w:rPr>
                <w:rFonts w:ascii="Calibri" w:eastAsia="Times New Roman" w:hAnsi="Calibri"/>
                <w:color w:val="000000"/>
                <w:sz w:val="20"/>
                <w:szCs w:val="20"/>
                <w:lang w:val="es-AR" w:eastAsia="es-AR"/>
              </w:rPr>
            </w:pPr>
            <w:r w:rsidRPr="002D335C">
              <w:rPr>
                <w:rFonts w:ascii="Calibri" w:eastAsia="Times New Roman" w:hAnsi="Calibri"/>
                <w:color w:val="000000"/>
                <w:sz w:val="20"/>
                <w:szCs w:val="20"/>
                <w:lang w:val="es-AR" w:eastAsia="es-AR"/>
              </w:rPr>
              <w:t>3.733</w:t>
            </w:r>
          </w:p>
        </w:tc>
      </w:tr>
      <w:tr w:rsidR="002D335C" w:rsidRPr="002D335C" w:rsidTr="002D335C">
        <w:trPr>
          <w:trHeight w:val="300"/>
        </w:trPr>
        <w:tc>
          <w:tcPr>
            <w:tcW w:w="2360" w:type="dxa"/>
            <w:tcBorders>
              <w:top w:val="nil"/>
              <w:left w:val="nil"/>
              <w:bottom w:val="nil"/>
              <w:right w:val="nil"/>
            </w:tcBorders>
            <w:shd w:val="clear" w:color="auto" w:fill="auto"/>
            <w:noWrap/>
            <w:vAlign w:val="bottom"/>
            <w:hideMark/>
          </w:tcPr>
          <w:p w:rsidR="002D335C" w:rsidRPr="002D335C" w:rsidRDefault="002D335C" w:rsidP="002D335C">
            <w:pPr>
              <w:jc w:val="center"/>
              <w:rPr>
                <w:rFonts w:ascii="Arial" w:eastAsia="Times New Roman" w:hAnsi="Arial" w:cs="Arial"/>
                <w:color w:val="000000"/>
                <w:sz w:val="20"/>
                <w:szCs w:val="20"/>
                <w:lang w:val="es-AR" w:eastAsia="es-AR"/>
              </w:rPr>
            </w:pPr>
            <w:r w:rsidRPr="002D335C">
              <w:rPr>
                <w:rFonts w:ascii="Arial" w:eastAsia="Times New Roman" w:hAnsi="Arial" w:cs="Arial"/>
                <w:color w:val="000000"/>
                <w:sz w:val="20"/>
                <w:szCs w:val="20"/>
                <w:lang w:val="es-AR" w:eastAsia="en-US"/>
              </w:rPr>
              <w:t>Más de 20</w:t>
            </w:r>
          </w:p>
        </w:tc>
        <w:tc>
          <w:tcPr>
            <w:tcW w:w="2440" w:type="dxa"/>
            <w:tcBorders>
              <w:top w:val="nil"/>
              <w:left w:val="nil"/>
              <w:bottom w:val="nil"/>
              <w:right w:val="nil"/>
            </w:tcBorders>
            <w:shd w:val="clear" w:color="auto" w:fill="auto"/>
            <w:noWrap/>
            <w:vAlign w:val="bottom"/>
            <w:hideMark/>
          </w:tcPr>
          <w:p w:rsidR="002D335C" w:rsidRPr="002D335C" w:rsidRDefault="002D335C" w:rsidP="002D335C">
            <w:pPr>
              <w:jc w:val="center"/>
              <w:rPr>
                <w:rFonts w:ascii="Calibri" w:eastAsia="Times New Roman" w:hAnsi="Calibri"/>
                <w:color w:val="000000"/>
                <w:sz w:val="20"/>
                <w:szCs w:val="20"/>
                <w:lang w:val="es-AR" w:eastAsia="es-AR"/>
              </w:rPr>
            </w:pPr>
            <w:r w:rsidRPr="002D335C">
              <w:rPr>
                <w:rFonts w:ascii="Calibri" w:eastAsia="Times New Roman" w:hAnsi="Calibri"/>
                <w:color w:val="000000"/>
                <w:sz w:val="20"/>
                <w:szCs w:val="20"/>
                <w:lang w:val="es-AR" w:eastAsia="es-AR"/>
              </w:rPr>
              <w:t>4.030</w:t>
            </w:r>
          </w:p>
        </w:tc>
        <w:tc>
          <w:tcPr>
            <w:tcW w:w="1100" w:type="dxa"/>
            <w:tcBorders>
              <w:top w:val="nil"/>
              <w:left w:val="nil"/>
              <w:bottom w:val="nil"/>
              <w:right w:val="nil"/>
            </w:tcBorders>
            <w:shd w:val="clear" w:color="auto" w:fill="auto"/>
            <w:noWrap/>
            <w:vAlign w:val="bottom"/>
            <w:hideMark/>
          </w:tcPr>
          <w:p w:rsidR="002D335C" w:rsidRPr="002D335C" w:rsidRDefault="002D335C" w:rsidP="002D335C">
            <w:pPr>
              <w:jc w:val="center"/>
              <w:rPr>
                <w:rFonts w:ascii="Calibri" w:eastAsia="Times New Roman" w:hAnsi="Calibri"/>
                <w:color w:val="000000"/>
                <w:sz w:val="20"/>
                <w:szCs w:val="20"/>
                <w:lang w:val="es-AR" w:eastAsia="es-AR"/>
              </w:rPr>
            </w:pPr>
            <w:r w:rsidRPr="002D335C">
              <w:rPr>
                <w:rFonts w:ascii="Calibri" w:eastAsia="Times New Roman" w:hAnsi="Calibri"/>
                <w:color w:val="000000"/>
                <w:sz w:val="20"/>
                <w:szCs w:val="20"/>
                <w:lang w:val="es-AR" w:eastAsia="es-AR"/>
              </w:rPr>
              <w:t>5.561</w:t>
            </w:r>
          </w:p>
        </w:tc>
        <w:tc>
          <w:tcPr>
            <w:tcW w:w="1000" w:type="dxa"/>
            <w:tcBorders>
              <w:top w:val="nil"/>
              <w:left w:val="nil"/>
              <w:bottom w:val="nil"/>
              <w:right w:val="nil"/>
            </w:tcBorders>
            <w:shd w:val="clear" w:color="auto" w:fill="auto"/>
            <w:noWrap/>
            <w:vAlign w:val="bottom"/>
            <w:hideMark/>
          </w:tcPr>
          <w:p w:rsidR="002D335C" w:rsidRPr="002D335C" w:rsidRDefault="002D335C" w:rsidP="002D335C">
            <w:pPr>
              <w:jc w:val="center"/>
              <w:rPr>
                <w:rFonts w:ascii="Calibri" w:eastAsia="Times New Roman" w:hAnsi="Calibri"/>
                <w:color w:val="000000"/>
                <w:sz w:val="20"/>
                <w:szCs w:val="20"/>
                <w:lang w:val="es-AR" w:eastAsia="es-AR"/>
              </w:rPr>
            </w:pPr>
            <w:r w:rsidRPr="002D335C">
              <w:rPr>
                <w:rFonts w:ascii="Calibri" w:eastAsia="Times New Roman" w:hAnsi="Calibri"/>
                <w:color w:val="000000"/>
                <w:sz w:val="20"/>
                <w:szCs w:val="20"/>
                <w:lang w:val="es-AR" w:eastAsia="es-AR"/>
              </w:rPr>
              <w:t>4.970</w:t>
            </w:r>
          </w:p>
        </w:tc>
      </w:tr>
    </w:tbl>
    <w:p w:rsidR="002D335C" w:rsidRDefault="002D335C" w:rsidP="002D335C">
      <w:pPr>
        <w:autoSpaceDE w:val="0"/>
        <w:autoSpaceDN w:val="0"/>
        <w:adjustRightInd w:val="0"/>
        <w:spacing w:line="360" w:lineRule="auto"/>
        <w:jc w:val="both"/>
        <w:rPr>
          <w:rStyle w:val="negritanovedades"/>
          <w:rFonts w:ascii="Arial" w:eastAsia="Times New Roman" w:hAnsi="Arial" w:cs="Arial"/>
          <w:color w:val="666666"/>
          <w:sz w:val="20"/>
          <w:szCs w:val="20"/>
          <w:lang w:val="es-AR" w:eastAsia="es-AR"/>
        </w:rPr>
      </w:pPr>
    </w:p>
    <w:p w:rsidR="00E62DC2" w:rsidRDefault="00E62DC2" w:rsidP="00E62DC2">
      <w:pPr>
        <w:autoSpaceDE w:val="0"/>
        <w:autoSpaceDN w:val="0"/>
        <w:adjustRightInd w:val="0"/>
        <w:rPr>
          <w:rStyle w:val="negritanovedades"/>
          <w:rFonts w:eastAsia="Times New Roman"/>
          <w:color w:val="666666"/>
          <w:sz w:val="20"/>
          <w:szCs w:val="20"/>
          <w:lang w:val="es-AR" w:eastAsia="es-AR"/>
        </w:rPr>
      </w:pPr>
      <w:r w:rsidRPr="00E62DC2">
        <w:rPr>
          <w:rStyle w:val="negritanovedades"/>
          <w:rFonts w:eastAsia="Times New Roman"/>
          <w:color w:val="666666"/>
          <w:sz w:val="20"/>
          <w:szCs w:val="20"/>
          <w:lang w:val="es-AR" w:eastAsia="es-AR"/>
        </w:rPr>
        <w:t>RÉGIMEN DE REGULARIZACIÓN TRIBUTARIA</w:t>
      </w:r>
    </w:p>
    <w:p w:rsidR="00E62DC2" w:rsidRPr="00E62DC2" w:rsidRDefault="00E62DC2" w:rsidP="00E62DC2">
      <w:pPr>
        <w:autoSpaceDE w:val="0"/>
        <w:autoSpaceDN w:val="0"/>
        <w:adjustRightInd w:val="0"/>
        <w:rPr>
          <w:rStyle w:val="negritanovedades"/>
          <w:rFonts w:eastAsia="Times New Roman"/>
          <w:color w:val="666666"/>
          <w:sz w:val="20"/>
          <w:szCs w:val="20"/>
          <w:lang w:val="es-AR" w:eastAsia="es-AR"/>
        </w:rPr>
      </w:pPr>
    </w:p>
    <w:p w:rsidR="00E62DC2" w:rsidRDefault="00E62DC2" w:rsidP="002D335C">
      <w:pPr>
        <w:pStyle w:val="Prrafodelista"/>
        <w:numPr>
          <w:ilvl w:val="0"/>
          <w:numId w:val="34"/>
        </w:numPr>
        <w:autoSpaceDE w:val="0"/>
        <w:autoSpaceDN w:val="0"/>
        <w:adjustRightInd w:val="0"/>
        <w:spacing w:line="360" w:lineRule="auto"/>
        <w:jc w:val="both"/>
        <w:rPr>
          <w:rStyle w:val="negritanovedades"/>
          <w:rFonts w:ascii="Arial" w:eastAsia="Times New Roman" w:hAnsi="Arial" w:cs="Arial"/>
          <w:color w:val="666666"/>
          <w:sz w:val="20"/>
          <w:szCs w:val="20"/>
          <w:lang w:val="es-AR" w:eastAsia="es-AR"/>
        </w:rPr>
      </w:pPr>
      <w:r w:rsidRPr="00E62DC2">
        <w:rPr>
          <w:rStyle w:val="negritanovedades"/>
          <w:rFonts w:ascii="Arial" w:eastAsia="Times New Roman" w:hAnsi="Arial" w:cs="Arial"/>
          <w:color w:val="666666"/>
          <w:sz w:val="20"/>
          <w:szCs w:val="20"/>
          <w:lang w:val="es-AR" w:eastAsia="es-AR"/>
        </w:rPr>
        <w:t>deudas devengadas hasta el 30 de noviembre de 2019 con el dos (2%) por  ciento de interés simple mensual, calculado desde su fecha de vencimiento hasta la de su efectivo pago o formalización del convenio respectiva</w:t>
      </w:r>
    </w:p>
    <w:p w:rsidR="002D335C" w:rsidRDefault="002D335C" w:rsidP="002D335C">
      <w:pPr>
        <w:pStyle w:val="Prrafodelista"/>
        <w:numPr>
          <w:ilvl w:val="0"/>
          <w:numId w:val="34"/>
        </w:numPr>
        <w:autoSpaceDE w:val="0"/>
        <w:autoSpaceDN w:val="0"/>
        <w:adjustRightInd w:val="0"/>
        <w:spacing w:line="360" w:lineRule="auto"/>
        <w:jc w:val="both"/>
        <w:rPr>
          <w:rStyle w:val="negritanovedades"/>
          <w:rFonts w:ascii="Arial" w:eastAsia="Times New Roman" w:hAnsi="Arial" w:cs="Arial"/>
          <w:color w:val="666666"/>
          <w:sz w:val="20"/>
          <w:szCs w:val="20"/>
          <w:lang w:val="es-AR" w:eastAsia="es-AR"/>
        </w:rPr>
      </w:pPr>
      <w:r>
        <w:rPr>
          <w:rStyle w:val="negritanovedades"/>
          <w:rFonts w:ascii="Arial" w:eastAsia="Times New Roman" w:hAnsi="Arial" w:cs="Arial"/>
          <w:color w:val="666666"/>
          <w:sz w:val="20"/>
          <w:szCs w:val="20"/>
          <w:lang w:val="es-AR" w:eastAsia="es-AR"/>
        </w:rPr>
        <w:t>Abonando dentro de la vigencia del régimen se regularización se reducen los intereses en un 70%</w:t>
      </w:r>
    </w:p>
    <w:p w:rsidR="002D335C" w:rsidRDefault="002D335C" w:rsidP="002D335C">
      <w:pPr>
        <w:pStyle w:val="Prrafodelista"/>
        <w:numPr>
          <w:ilvl w:val="0"/>
          <w:numId w:val="34"/>
        </w:numPr>
        <w:autoSpaceDE w:val="0"/>
        <w:autoSpaceDN w:val="0"/>
        <w:adjustRightInd w:val="0"/>
        <w:spacing w:line="360" w:lineRule="auto"/>
        <w:jc w:val="both"/>
        <w:rPr>
          <w:rStyle w:val="negritanovedades"/>
          <w:rFonts w:ascii="Arial" w:eastAsia="Times New Roman" w:hAnsi="Arial" w:cs="Arial"/>
          <w:color w:val="666666"/>
          <w:sz w:val="20"/>
          <w:szCs w:val="20"/>
          <w:lang w:val="es-AR" w:eastAsia="es-AR"/>
        </w:rPr>
      </w:pPr>
      <w:r>
        <w:rPr>
          <w:rStyle w:val="negritanovedades"/>
          <w:rFonts w:ascii="Arial" w:eastAsia="Times New Roman" w:hAnsi="Arial" w:cs="Arial"/>
          <w:color w:val="666666"/>
          <w:sz w:val="20"/>
          <w:szCs w:val="20"/>
          <w:lang w:val="es-AR" w:eastAsia="es-AR"/>
        </w:rPr>
        <w:t xml:space="preserve">Abonando mediante convenio de pagos: </w:t>
      </w:r>
    </w:p>
    <w:p w:rsidR="002D335C" w:rsidRDefault="002D335C" w:rsidP="002D335C">
      <w:pPr>
        <w:pStyle w:val="Prrafodelista"/>
        <w:autoSpaceDE w:val="0"/>
        <w:autoSpaceDN w:val="0"/>
        <w:adjustRightInd w:val="0"/>
        <w:spacing w:line="360" w:lineRule="auto"/>
        <w:jc w:val="both"/>
        <w:rPr>
          <w:rStyle w:val="negritanovedades"/>
          <w:rFonts w:ascii="Arial" w:eastAsia="Times New Roman" w:hAnsi="Arial" w:cs="Arial"/>
          <w:color w:val="666666"/>
          <w:sz w:val="20"/>
          <w:szCs w:val="20"/>
          <w:lang w:val="es-AR" w:eastAsia="es-AR"/>
        </w:rPr>
      </w:pPr>
      <w:r>
        <w:rPr>
          <w:rStyle w:val="negritanovedades"/>
          <w:rFonts w:ascii="Arial" w:eastAsia="Times New Roman" w:hAnsi="Arial" w:cs="Arial"/>
          <w:color w:val="666666"/>
          <w:sz w:val="20"/>
          <w:szCs w:val="20"/>
          <w:lang w:val="es-AR" w:eastAsia="es-AR"/>
        </w:rPr>
        <w:t>-planes de 12 cuotas con 1.5% de interés mensual y reducción del 30% de los intereses</w:t>
      </w:r>
    </w:p>
    <w:p w:rsidR="002D335C" w:rsidRDefault="002D335C" w:rsidP="002D335C">
      <w:pPr>
        <w:pStyle w:val="Prrafodelista"/>
        <w:autoSpaceDE w:val="0"/>
        <w:autoSpaceDN w:val="0"/>
        <w:adjustRightInd w:val="0"/>
        <w:spacing w:line="360" w:lineRule="auto"/>
        <w:jc w:val="both"/>
        <w:rPr>
          <w:rStyle w:val="negritanovedades"/>
          <w:rFonts w:ascii="Arial" w:eastAsia="Times New Roman" w:hAnsi="Arial" w:cs="Arial"/>
          <w:color w:val="666666"/>
          <w:sz w:val="20"/>
          <w:szCs w:val="20"/>
          <w:lang w:val="es-AR" w:eastAsia="es-AR"/>
        </w:rPr>
      </w:pPr>
      <w:r>
        <w:rPr>
          <w:rStyle w:val="negritanovedades"/>
          <w:rFonts w:ascii="Arial" w:eastAsia="Times New Roman" w:hAnsi="Arial" w:cs="Arial"/>
          <w:color w:val="666666"/>
          <w:sz w:val="20"/>
          <w:szCs w:val="20"/>
          <w:lang w:val="es-AR" w:eastAsia="es-AR"/>
        </w:rPr>
        <w:t>- planes de 24 cuotas con 2% de interés mensual y reducción del 15% de los intereses</w:t>
      </w:r>
    </w:p>
    <w:p w:rsidR="002D335C" w:rsidRPr="00E62DC2" w:rsidRDefault="002D335C" w:rsidP="002D335C">
      <w:pPr>
        <w:pStyle w:val="Prrafodelista"/>
        <w:autoSpaceDE w:val="0"/>
        <w:autoSpaceDN w:val="0"/>
        <w:adjustRightInd w:val="0"/>
        <w:spacing w:line="360" w:lineRule="auto"/>
        <w:jc w:val="both"/>
        <w:rPr>
          <w:rStyle w:val="negritanovedades"/>
          <w:rFonts w:ascii="Arial" w:eastAsia="Times New Roman" w:hAnsi="Arial" w:cs="Arial"/>
          <w:color w:val="666666"/>
          <w:sz w:val="20"/>
          <w:szCs w:val="20"/>
          <w:lang w:val="es-AR" w:eastAsia="es-AR"/>
        </w:rPr>
      </w:pPr>
      <w:r>
        <w:rPr>
          <w:rStyle w:val="negritanovedades"/>
          <w:rFonts w:ascii="Arial" w:eastAsia="Times New Roman" w:hAnsi="Arial" w:cs="Arial"/>
          <w:color w:val="666666"/>
          <w:sz w:val="20"/>
          <w:szCs w:val="20"/>
          <w:lang w:val="es-AR" w:eastAsia="es-AR"/>
        </w:rPr>
        <w:t>- planes 36 cuotas con 2,5% de interés mensual</w:t>
      </w:r>
    </w:p>
    <w:p w:rsidR="00E62DC2" w:rsidRDefault="00E62DC2" w:rsidP="00E62DC2">
      <w:pPr>
        <w:rPr>
          <w:rStyle w:val="negritanovedades"/>
          <w:rFonts w:ascii="Arial" w:eastAsia="Times New Roman" w:hAnsi="Arial" w:cs="Arial"/>
          <w:color w:val="666666"/>
          <w:sz w:val="20"/>
          <w:szCs w:val="20"/>
          <w:lang w:val="es-AR" w:eastAsia="es-AR"/>
        </w:rPr>
      </w:pPr>
    </w:p>
    <w:p w:rsidR="00D86094" w:rsidRDefault="00D86094" w:rsidP="00D86094">
      <w:pPr>
        <w:pStyle w:val="NormalWeb"/>
        <w:spacing w:before="0" w:beforeAutospacing="0" w:after="0" w:afterAutospacing="0" w:line="360" w:lineRule="auto"/>
        <w:jc w:val="both"/>
        <w:rPr>
          <w:rFonts w:ascii="Arial" w:eastAsia="Times New Roman" w:hAnsi="Arial" w:cs="Arial"/>
          <w:b/>
          <w:bCs/>
          <w:color w:val="666666"/>
          <w:sz w:val="20"/>
          <w:szCs w:val="20"/>
        </w:rPr>
      </w:pPr>
    </w:p>
    <w:p w:rsidR="00CE400C" w:rsidRPr="00CE400C" w:rsidRDefault="00CE400C" w:rsidP="00CE400C">
      <w:pPr>
        <w:pStyle w:val="NormalWeb"/>
        <w:spacing w:before="0" w:beforeAutospacing="0" w:after="0" w:afterAutospacing="0"/>
        <w:jc w:val="center"/>
        <w:rPr>
          <w:rFonts w:ascii="Arial" w:hAnsi="Arial" w:cs="Arial"/>
          <w:b/>
          <w:bCs/>
          <w:caps/>
          <w:color w:val="7E4F6F"/>
          <w:sz w:val="28"/>
          <w:szCs w:val="28"/>
        </w:rPr>
      </w:pPr>
      <w:r w:rsidRPr="00CE400C">
        <w:rPr>
          <w:rFonts w:ascii="Arial" w:hAnsi="Arial" w:cs="Arial"/>
          <w:b/>
          <w:bCs/>
          <w:caps/>
          <w:color w:val="7E4F6F"/>
          <w:sz w:val="28"/>
          <w:szCs w:val="28"/>
        </w:rPr>
        <w:t>LABORALES - PREVISIONALES</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p>
    <w:p w:rsidR="00551A1F" w:rsidRDefault="00551A1F" w:rsidP="00A7476B">
      <w:pPr>
        <w:pStyle w:val="NormalWeb"/>
        <w:spacing w:before="0" w:beforeAutospacing="0" w:after="0" w:afterAutospacing="0" w:line="360" w:lineRule="auto"/>
        <w:jc w:val="both"/>
        <w:rPr>
          <w:rFonts w:ascii="Arial" w:hAnsi="Arial" w:cs="Arial"/>
          <w:b/>
          <w:bCs/>
          <w:caps/>
          <w:color w:val="7E4F6F"/>
          <w:sz w:val="22"/>
          <w:szCs w:val="22"/>
        </w:rPr>
      </w:pPr>
    </w:p>
    <w:p w:rsidR="00DA7B32" w:rsidRDefault="00551A1F" w:rsidP="00551A1F">
      <w:pPr>
        <w:pStyle w:val="NormalWeb"/>
        <w:spacing w:before="0" w:beforeAutospacing="0" w:after="0" w:afterAutospacing="0"/>
        <w:jc w:val="both"/>
        <w:rPr>
          <w:rFonts w:ascii="Arial" w:hAnsi="Arial" w:cs="Arial"/>
          <w:b/>
          <w:bCs/>
          <w:caps/>
          <w:color w:val="7E4F6F"/>
          <w:sz w:val="22"/>
          <w:szCs w:val="22"/>
        </w:rPr>
      </w:pPr>
      <w:r w:rsidRPr="00551A1F">
        <w:rPr>
          <w:rFonts w:ascii="Arial" w:hAnsi="Arial" w:cs="Arial"/>
          <w:b/>
          <w:bCs/>
          <w:caps/>
          <w:color w:val="7E4F6F"/>
          <w:sz w:val="22"/>
          <w:szCs w:val="22"/>
        </w:rPr>
        <w:t>Libro de Sueldos Digital AFIP</w:t>
      </w:r>
    </w:p>
    <w:p w:rsidR="00551A1F" w:rsidRDefault="00551A1F" w:rsidP="00551A1F">
      <w:pPr>
        <w:pStyle w:val="NormalWeb"/>
        <w:spacing w:before="0" w:beforeAutospacing="0" w:after="0" w:afterAutospacing="0"/>
        <w:jc w:val="both"/>
        <w:rPr>
          <w:rFonts w:ascii="Arial" w:hAnsi="Arial" w:cs="Arial"/>
          <w:b/>
          <w:bCs/>
          <w:caps/>
          <w:color w:val="7E4F6F"/>
          <w:sz w:val="22"/>
          <w:szCs w:val="22"/>
        </w:rPr>
      </w:pPr>
    </w:p>
    <w:p w:rsidR="00551A1F" w:rsidRDefault="00551A1F" w:rsidP="00551A1F">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Prórroga y habilitación de "Declaración en Línea"</w:t>
      </w:r>
    </w:p>
    <w:p w:rsidR="00551A1F" w:rsidRDefault="00551A1F" w:rsidP="00551A1F">
      <w:pPr>
        <w:pStyle w:val="NormalWeb"/>
        <w:spacing w:before="0" w:beforeAutospacing="0" w:after="0" w:afterAutospacing="0"/>
        <w:jc w:val="both"/>
        <w:rPr>
          <w:rFonts w:ascii="Arial" w:hAnsi="Arial" w:cs="Arial"/>
          <w:b/>
          <w:bCs/>
          <w:caps/>
          <w:color w:val="7E4F6F"/>
          <w:sz w:val="21"/>
          <w:szCs w:val="21"/>
        </w:rPr>
      </w:pPr>
    </w:p>
    <w:p w:rsidR="00551A1F" w:rsidRDefault="00551A1F" w:rsidP="00551A1F">
      <w:pPr>
        <w:pStyle w:val="NormalWeb"/>
        <w:spacing w:before="0" w:beforeAutospacing="0" w:after="0" w:afterAutospacing="0" w:line="360" w:lineRule="auto"/>
        <w:jc w:val="both"/>
        <w:rPr>
          <w:rStyle w:val="negritanovedades"/>
          <w:rFonts w:ascii="Arial" w:eastAsia="Times New Roman" w:hAnsi="Arial" w:cs="Arial"/>
          <w:color w:val="666666"/>
          <w:sz w:val="20"/>
          <w:szCs w:val="20"/>
          <w:lang w:val="es-AR" w:eastAsia="es-AR"/>
        </w:rPr>
      </w:pPr>
      <w:r w:rsidRPr="00551A1F">
        <w:rPr>
          <w:rStyle w:val="negritanovedades"/>
          <w:rFonts w:ascii="Arial" w:eastAsia="Times New Roman" w:hAnsi="Arial" w:cs="Arial"/>
          <w:color w:val="666666"/>
          <w:sz w:val="20"/>
          <w:szCs w:val="20"/>
          <w:lang w:val="es-AR" w:eastAsia="es-AR"/>
        </w:rPr>
        <w:t>El Organismo otorga la posibilidad de prorrogar la presentación de la declaración jurada F. 931 a aquellos empleadores obligados a partir del devengado diciembre 2019, que utilicen la herramienta web y que se encuentren en dificultades para su cumplimiento</w:t>
      </w:r>
      <w:r>
        <w:rPr>
          <w:rStyle w:val="negritanovedades"/>
          <w:rFonts w:ascii="Arial" w:eastAsia="Times New Roman" w:hAnsi="Arial" w:cs="Arial"/>
          <w:color w:val="666666"/>
          <w:sz w:val="20"/>
          <w:szCs w:val="20"/>
          <w:lang w:val="es-AR" w:eastAsia="es-AR"/>
        </w:rPr>
        <w:t>.</w:t>
      </w:r>
    </w:p>
    <w:p w:rsidR="00551A1F" w:rsidRDefault="00551A1F" w:rsidP="00551A1F">
      <w:pPr>
        <w:pStyle w:val="NormalWeb"/>
        <w:spacing w:before="0" w:beforeAutospacing="0" w:after="0" w:afterAutospacing="0" w:line="360" w:lineRule="auto"/>
        <w:jc w:val="both"/>
        <w:rPr>
          <w:rStyle w:val="negritanovedades"/>
          <w:rFonts w:ascii="Arial" w:eastAsia="Times New Roman" w:hAnsi="Arial" w:cs="Arial"/>
          <w:color w:val="666666"/>
          <w:sz w:val="20"/>
          <w:szCs w:val="20"/>
          <w:lang w:val="es-AR" w:eastAsia="es-AR"/>
        </w:rPr>
      </w:pPr>
    </w:p>
    <w:p w:rsidR="00551A1F" w:rsidRPr="00915A68" w:rsidRDefault="00551A1F" w:rsidP="00551A1F">
      <w:pPr>
        <w:pStyle w:val="NormalWeb"/>
        <w:spacing w:before="0" w:beforeAutospacing="0" w:after="0" w:afterAutospacing="0"/>
        <w:jc w:val="both"/>
        <w:rPr>
          <w:rFonts w:ascii="Arial" w:hAnsi="Arial" w:cs="Arial"/>
          <w:b/>
          <w:bCs/>
          <w:caps/>
          <w:color w:val="7E4F6F"/>
          <w:sz w:val="21"/>
          <w:szCs w:val="21"/>
        </w:rPr>
      </w:pPr>
      <w:r w:rsidRPr="00915A68">
        <w:rPr>
          <w:rFonts w:ascii="Arial" w:hAnsi="Arial" w:cs="Arial"/>
          <w:b/>
          <w:bCs/>
          <w:caps/>
          <w:color w:val="7E4F6F"/>
          <w:sz w:val="21"/>
          <w:szCs w:val="21"/>
        </w:rPr>
        <w:t xml:space="preserve">AFIP. Cuotas de Planes de facilidades de pago. Segundo intento de cobro </w:t>
      </w:r>
    </w:p>
    <w:p w:rsidR="00551A1F" w:rsidRDefault="00551A1F" w:rsidP="00551A1F">
      <w:pPr>
        <w:pStyle w:val="NormalWeb"/>
        <w:spacing w:before="0" w:beforeAutospacing="0" w:after="0" w:afterAutospacing="0" w:line="360" w:lineRule="auto"/>
        <w:jc w:val="both"/>
        <w:rPr>
          <w:rFonts w:ascii="Arial" w:hAnsi="Arial" w:cs="Arial"/>
          <w:b/>
          <w:bCs/>
          <w:caps/>
          <w:color w:val="7E4F6F"/>
          <w:sz w:val="21"/>
          <w:szCs w:val="21"/>
        </w:rPr>
      </w:pPr>
    </w:p>
    <w:p w:rsidR="00551A1F" w:rsidRDefault="00551A1F" w:rsidP="00551A1F">
      <w:pPr>
        <w:pStyle w:val="NormalWeb"/>
        <w:spacing w:before="0" w:beforeAutospacing="0" w:after="0" w:afterAutospacing="0" w:line="360" w:lineRule="auto"/>
        <w:jc w:val="both"/>
        <w:rPr>
          <w:rStyle w:val="negritanovedades"/>
          <w:rFonts w:ascii="Arial" w:eastAsia="Times New Roman" w:hAnsi="Arial" w:cs="Arial"/>
          <w:color w:val="666666"/>
          <w:sz w:val="20"/>
          <w:szCs w:val="20"/>
          <w:lang w:val="es-AR" w:eastAsia="es-AR"/>
        </w:rPr>
      </w:pPr>
      <w:r w:rsidRPr="00551A1F">
        <w:rPr>
          <w:rStyle w:val="negritanovedades"/>
          <w:rFonts w:ascii="Arial" w:eastAsia="Times New Roman" w:hAnsi="Arial" w:cs="Arial"/>
          <w:color w:val="666666"/>
          <w:sz w:val="20"/>
          <w:szCs w:val="20"/>
          <w:lang w:val="es-AR" w:eastAsia="es-AR"/>
        </w:rPr>
        <w:t>La AFIP informa que el segundo intento de débito la cuota mensual de planes de facilidades de pago se efectuará el lunes 30 de diciembre,</w:t>
      </w:r>
      <w:r>
        <w:rPr>
          <w:rStyle w:val="negritanovedades"/>
          <w:rFonts w:ascii="Arial" w:eastAsia="Times New Roman" w:hAnsi="Arial" w:cs="Arial"/>
          <w:color w:val="666666"/>
          <w:sz w:val="20"/>
          <w:szCs w:val="20"/>
          <w:lang w:val="es-AR" w:eastAsia="es-AR"/>
        </w:rPr>
        <w:t xml:space="preserve"> </w:t>
      </w:r>
      <w:r w:rsidRPr="00551A1F">
        <w:rPr>
          <w:rStyle w:val="negritanovedades"/>
          <w:rFonts w:ascii="Arial" w:eastAsia="Times New Roman" w:hAnsi="Arial" w:cs="Arial"/>
          <w:color w:val="666666"/>
          <w:sz w:val="20"/>
          <w:szCs w:val="20"/>
          <w:lang w:val="es-AR" w:eastAsia="es-AR"/>
        </w:rPr>
        <w:t>en reemplazo del débito que debía realizarse en el día de ayer 26/12/2019. La modificación obedece a cuestiones operativas con motivo de los asuetos dispuestos para la administración pública nacional</w:t>
      </w:r>
      <w:r>
        <w:rPr>
          <w:rStyle w:val="negritanovedades"/>
          <w:rFonts w:ascii="Arial" w:eastAsia="Times New Roman" w:hAnsi="Arial" w:cs="Arial"/>
          <w:color w:val="666666"/>
          <w:sz w:val="20"/>
          <w:szCs w:val="20"/>
          <w:lang w:val="es-AR" w:eastAsia="es-AR"/>
        </w:rPr>
        <w:t>.</w:t>
      </w:r>
    </w:p>
    <w:p w:rsidR="00551A1F" w:rsidRDefault="00551A1F" w:rsidP="00551A1F">
      <w:pPr>
        <w:pStyle w:val="NormalWeb"/>
        <w:spacing w:before="0" w:beforeAutospacing="0" w:after="0" w:afterAutospacing="0" w:line="360" w:lineRule="auto"/>
        <w:jc w:val="both"/>
        <w:rPr>
          <w:rStyle w:val="negritanovedades"/>
          <w:rFonts w:ascii="Arial" w:eastAsia="Times New Roman" w:hAnsi="Arial" w:cs="Arial"/>
          <w:color w:val="666666"/>
          <w:sz w:val="20"/>
          <w:szCs w:val="20"/>
          <w:lang w:val="es-AR" w:eastAsia="es-AR"/>
        </w:rPr>
      </w:pPr>
    </w:p>
    <w:p w:rsidR="00551A1F" w:rsidRDefault="00551A1F" w:rsidP="00551A1F">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SISTEMA DE ÍNDICES DE PRECIOS MAYORISTAS (SIPM). ÍNDICE DEL COSTO DE LA CONSTRUCCIÓN (ICC). ÍNDICE DE PRECIOS AL CONSUMIDOR (IPC). NOVIEMBRE DE 2019</w:t>
      </w:r>
    </w:p>
    <w:p w:rsidR="00551A1F" w:rsidRDefault="00551A1F" w:rsidP="00551A1F">
      <w:pPr>
        <w:pStyle w:val="NormalWeb"/>
        <w:spacing w:before="0" w:beforeAutospacing="0" w:after="0" w:afterAutospacing="0"/>
        <w:jc w:val="both"/>
        <w:rPr>
          <w:rFonts w:ascii="Arial" w:hAnsi="Arial" w:cs="Arial"/>
          <w:b/>
          <w:bCs/>
          <w:caps/>
          <w:color w:val="376889"/>
          <w:sz w:val="21"/>
          <w:szCs w:val="21"/>
        </w:rPr>
      </w:pPr>
    </w:p>
    <w:p w:rsidR="00551A1F" w:rsidRPr="00551A1F" w:rsidRDefault="00551A1F" w:rsidP="00551A1F">
      <w:pPr>
        <w:spacing w:after="240" w:line="360" w:lineRule="auto"/>
        <w:jc w:val="both"/>
        <w:rPr>
          <w:rStyle w:val="negritanovedades"/>
          <w:rFonts w:ascii="Arial" w:eastAsia="Times New Roman" w:hAnsi="Arial" w:cs="Arial"/>
          <w:color w:val="666666"/>
          <w:sz w:val="20"/>
          <w:szCs w:val="20"/>
          <w:lang w:val="es-AR" w:eastAsia="es-AR"/>
        </w:rPr>
      </w:pPr>
      <w:r w:rsidRPr="00551A1F">
        <w:rPr>
          <w:rStyle w:val="negritanovedades"/>
          <w:rFonts w:ascii="Arial" w:eastAsia="Times New Roman" w:hAnsi="Arial" w:cs="Arial"/>
          <w:color w:val="666666"/>
          <w:sz w:val="20"/>
          <w:szCs w:val="20"/>
          <w:lang w:val="es-AR" w:eastAsia="es-AR"/>
        </w:rPr>
        <w:t xml:space="preserve">El Instituto Nacional de Estadística y Censos (INDEC) ha difundido la variación porcentual de los "Índices de Precios Mayoristas" (SIPM), "Índice del Costo de la Construcción" (ICC) e “Índice de Precios al Consumidor” (IPC) para el mes de noviembre de 2019: </w:t>
      </w:r>
    </w:p>
    <w:tbl>
      <w:tblPr>
        <w:tblW w:w="3000"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3020"/>
        <w:gridCol w:w="2325"/>
      </w:tblGrid>
      <w:tr w:rsidR="00551A1F" w:rsidTr="00551A1F">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1A1F" w:rsidRDefault="00551A1F" w:rsidP="00551A1F">
            <w:pPr>
              <w:jc w:val="center"/>
              <w:rPr>
                <w:rFonts w:eastAsia="Times New Roman"/>
              </w:rPr>
            </w:pPr>
            <w:r>
              <w:rPr>
                <w:rStyle w:val="Textoennegrita"/>
                <w:rFonts w:ascii="Arial" w:eastAsia="Times New Roman" w:hAnsi="Arial" w:cs="Arial"/>
                <w:sz w:val="20"/>
                <w:szCs w:val="20"/>
              </w:rPr>
              <w:t>Nivel General 2019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1A1F" w:rsidRDefault="00551A1F" w:rsidP="00551A1F">
            <w:pPr>
              <w:jc w:val="center"/>
              <w:rPr>
                <w:rFonts w:eastAsia="Times New Roman"/>
              </w:rPr>
            </w:pPr>
            <w:r>
              <w:rPr>
                <w:rStyle w:val="Textoennegrita"/>
                <w:rFonts w:ascii="Arial" w:eastAsia="Times New Roman" w:hAnsi="Arial" w:cs="Arial"/>
                <w:sz w:val="20"/>
                <w:szCs w:val="20"/>
              </w:rPr>
              <w:t>Noviembre 2019 (*)</w:t>
            </w:r>
          </w:p>
        </w:tc>
      </w:tr>
      <w:tr w:rsidR="00551A1F" w:rsidTr="00551A1F">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51A1F" w:rsidRDefault="00551A1F" w:rsidP="00551A1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1A1F" w:rsidRDefault="00551A1F" w:rsidP="00551A1F">
            <w:pPr>
              <w:jc w:val="center"/>
              <w:rPr>
                <w:rFonts w:eastAsia="Times New Roman"/>
              </w:rPr>
            </w:pPr>
            <w:r>
              <w:rPr>
                <w:rStyle w:val="Textoennegrita"/>
                <w:rFonts w:ascii="Arial" w:eastAsia="Times New Roman" w:hAnsi="Arial" w:cs="Arial"/>
                <w:sz w:val="20"/>
                <w:szCs w:val="20"/>
              </w:rPr>
              <w:t>Variación % respecto al mes anterior</w:t>
            </w:r>
          </w:p>
        </w:tc>
      </w:tr>
      <w:tr w:rsidR="00551A1F" w:rsidTr="00551A1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1A1F" w:rsidRDefault="00551A1F" w:rsidP="00551A1F">
            <w:pPr>
              <w:jc w:val="center"/>
              <w:rPr>
                <w:rFonts w:eastAsia="Times New Roman"/>
              </w:rPr>
            </w:pPr>
            <w:r>
              <w:rPr>
                <w:rFonts w:ascii="Arial" w:eastAsia="Times New Roman" w:hAnsi="Arial" w:cs="Arial"/>
                <w:sz w:val="20"/>
                <w:szCs w:val="20"/>
              </w:rPr>
              <w:t>Índice de Precios Internos al por Mayor (IPIM)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1A1F" w:rsidRDefault="00551A1F" w:rsidP="00551A1F">
            <w:pPr>
              <w:jc w:val="center"/>
              <w:rPr>
                <w:rFonts w:eastAsia="Times New Roman"/>
              </w:rPr>
            </w:pPr>
            <w:r>
              <w:rPr>
                <w:rFonts w:ascii="Arial" w:eastAsia="Times New Roman" w:hAnsi="Arial" w:cs="Arial"/>
                <w:sz w:val="20"/>
                <w:szCs w:val="20"/>
              </w:rPr>
              <w:t>5,4</w:t>
            </w:r>
          </w:p>
        </w:tc>
      </w:tr>
      <w:tr w:rsidR="00551A1F" w:rsidTr="00551A1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1A1F" w:rsidRDefault="00551A1F" w:rsidP="00551A1F">
            <w:pPr>
              <w:jc w:val="center"/>
              <w:rPr>
                <w:rFonts w:eastAsia="Times New Roman"/>
              </w:rPr>
            </w:pPr>
            <w:r>
              <w:rPr>
                <w:rFonts w:ascii="Arial" w:eastAsia="Times New Roman" w:hAnsi="Arial" w:cs="Arial"/>
                <w:sz w:val="20"/>
                <w:szCs w:val="20"/>
              </w:rPr>
              <w:t>Índice de Precios Internos Básicos al por Mayor (IPIB)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1A1F" w:rsidRDefault="00551A1F" w:rsidP="00551A1F">
            <w:pPr>
              <w:jc w:val="center"/>
              <w:rPr>
                <w:rFonts w:eastAsia="Times New Roman"/>
              </w:rPr>
            </w:pPr>
            <w:r>
              <w:rPr>
                <w:rFonts w:ascii="Arial" w:eastAsia="Times New Roman" w:hAnsi="Arial" w:cs="Arial"/>
                <w:sz w:val="20"/>
                <w:szCs w:val="20"/>
              </w:rPr>
              <w:t>5,0</w:t>
            </w:r>
          </w:p>
        </w:tc>
      </w:tr>
      <w:tr w:rsidR="00551A1F" w:rsidTr="00551A1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1A1F" w:rsidRDefault="00551A1F" w:rsidP="00551A1F">
            <w:pPr>
              <w:jc w:val="center"/>
              <w:rPr>
                <w:rFonts w:eastAsia="Times New Roman"/>
              </w:rPr>
            </w:pPr>
            <w:r>
              <w:rPr>
                <w:rFonts w:ascii="Arial" w:eastAsia="Times New Roman" w:hAnsi="Arial" w:cs="Arial"/>
                <w:sz w:val="20"/>
                <w:szCs w:val="20"/>
              </w:rPr>
              <w:t>Índice de Precios Básicos del Productor (IPP)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1A1F" w:rsidRDefault="00551A1F" w:rsidP="00551A1F">
            <w:pPr>
              <w:jc w:val="center"/>
              <w:rPr>
                <w:rFonts w:eastAsia="Times New Roman"/>
              </w:rPr>
            </w:pPr>
            <w:r>
              <w:rPr>
                <w:rFonts w:ascii="Arial" w:eastAsia="Times New Roman" w:hAnsi="Arial" w:cs="Arial"/>
                <w:sz w:val="20"/>
                <w:szCs w:val="20"/>
              </w:rPr>
              <w:t>5,2</w:t>
            </w:r>
          </w:p>
        </w:tc>
      </w:tr>
      <w:tr w:rsidR="00551A1F" w:rsidTr="00551A1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1A1F" w:rsidRDefault="00551A1F" w:rsidP="00551A1F">
            <w:pPr>
              <w:jc w:val="center"/>
              <w:rPr>
                <w:rFonts w:eastAsia="Times New Roman"/>
              </w:rPr>
            </w:pPr>
            <w:r>
              <w:rPr>
                <w:rFonts w:ascii="Arial" w:eastAsia="Times New Roman" w:hAnsi="Arial" w:cs="Arial"/>
                <w:sz w:val="20"/>
                <w:szCs w:val="20"/>
              </w:rPr>
              <w:t>Índice del Costo de la Construcción Gran Bs. 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1A1F" w:rsidRDefault="00551A1F" w:rsidP="00551A1F">
            <w:pPr>
              <w:jc w:val="center"/>
              <w:rPr>
                <w:rFonts w:eastAsia="Times New Roman"/>
              </w:rPr>
            </w:pPr>
            <w:r>
              <w:rPr>
                <w:rFonts w:ascii="Arial" w:eastAsia="Times New Roman" w:hAnsi="Arial" w:cs="Arial"/>
                <w:sz w:val="20"/>
                <w:szCs w:val="20"/>
              </w:rPr>
              <w:t>4,5</w:t>
            </w:r>
          </w:p>
        </w:tc>
      </w:tr>
      <w:tr w:rsidR="00551A1F" w:rsidTr="00551A1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1A1F" w:rsidRDefault="00551A1F" w:rsidP="00551A1F">
            <w:pPr>
              <w:jc w:val="center"/>
              <w:rPr>
                <w:rFonts w:eastAsia="Times New Roman"/>
              </w:rPr>
            </w:pPr>
            <w:r>
              <w:rPr>
                <w:rFonts w:ascii="Arial" w:eastAsia="Times New Roman" w:hAnsi="Arial" w:cs="Arial"/>
                <w:sz w:val="20"/>
                <w:szCs w:val="20"/>
              </w:rPr>
              <w:t>Índice de Precios al Consumidor (IPC)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1A1F" w:rsidRDefault="00551A1F" w:rsidP="00551A1F">
            <w:pPr>
              <w:jc w:val="center"/>
              <w:rPr>
                <w:rFonts w:eastAsia="Times New Roman"/>
              </w:rPr>
            </w:pPr>
            <w:r>
              <w:rPr>
                <w:rFonts w:ascii="Arial" w:eastAsia="Times New Roman" w:hAnsi="Arial" w:cs="Arial"/>
                <w:sz w:val="20"/>
                <w:szCs w:val="20"/>
              </w:rPr>
              <w:t>4,3</w:t>
            </w:r>
          </w:p>
        </w:tc>
      </w:tr>
    </w:tbl>
    <w:p w:rsidR="00551A1F" w:rsidRDefault="00551A1F" w:rsidP="00551A1F">
      <w:pPr>
        <w:rPr>
          <w:rFonts w:ascii="Arial" w:eastAsia="Times New Roman" w:hAnsi="Arial" w:cs="Arial"/>
          <w:color w:val="666666"/>
          <w:sz w:val="20"/>
          <w:szCs w:val="20"/>
        </w:rPr>
      </w:pPr>
      <w:r>
        <w:rPr>
          <w:rFonts w:ascii="Arial" w:eastAsia="Times New Roman" w:hAnsi="Arial" w:cs="Arial"/>
          <w:color w:val="666666"/>
          <w:sz w:val="20"/>
          <w:szCs w:val="20"/>
        </w:rPr>
        <w:br/>
      </w:r>
      <w:r>
        <w:rPr>
          <w:rFonts w:ascii="Arial" w:eastAsia="Times New Roman" w:hAnsi="Arial" w:cs="Arial"/>
          <w:color w:val="666666"/>
          <w:sz w:val="20"/>
          <w:szCs w:val="20"/>
        </w:rPr>
        <w:br/>
        <w:t>(*) Dato provisorio</w:t>
      </w:r>
    </w:p>
    <w:p w:rsidR="00551A1F" w:rsidRDefault="00551A1F" w:rsidP="00551A1F">
      <w:pPr>
        <w:pStyle w:val="NormalWeb"/>
        <w:spacing w:before="0" w:beforeAutospacing="0" w:after="0" w:afterAutospacing="0" w:line="360" w:lineRule="auto"/>
        <w:jc w:val="both"/>
        <w:rPr>
          <w:rStyle w:val="negritanovedades"/>
          <w:rFonts w:ascii="Arial" w:eastAsia="Times New Roman" w:hAnsi="Arial" w:cs="Arial"/>
          <w:color w:val="666666"/>
          <w:sz w:val="20"/>
          <w:szCs w:val="20"/>
          <w:lang w:val="es-AR" w:eastAsia="es-AR"/>
        </w:rPr>
      </w:pPr>
    </w:p>
    <w:p w:rsidR="003B0D3B" w:rsidRDefault="003B0D3B" w:rsidP="00551A1F">
      <w:pPr>
        <w:pStyle w:val="NormalWeb"/>
        <w:spacing w:before="0" w:beforeAutospacing="0" w:after="0" w:afterAutospacing="0" w:line="360" w:lineRule="auto"/>
        <w:jc w:val="both"/>
        <w:rPr>
          <w:rStyle w:val="negritanovedades"/>
          <w:rFonts w:ascii="Arial" w:eastAsia="Times New Roman" w:hAnsi="Arial" w:cs="Arial"/>
          <w:color w:val="666666"/>
          <w:sz w:val="20"/>
          <w:szCs w:val="20"/>
          <w:lang w:val="es-AR" w:eastAsia="es-AR"/>
        </w:rPr>
      </w:pPr>
    </w:p>
    <w:p w:rsidR="003B0D3B" w:rsidRDefault="003B0D3B" w:rsidP="00551A1F">
      <w:pPr>
        <w:pStyle w:val="NormalWeb"/>
        <w:spacing w:before="0" w:beforeAutospacing="0" w:after="0" w:afterAutospacing="0" w:line="360" w:lineRule="auto"/>
        <w:jc w:val="both"/>
        <w:rPr>
          <w:rStyle w:val="negritanovedades"/>
          <w:rFonts w:ascii="Arial" w:eastAsia="Times New Roman" w:hAnsi="Arial" w:cs="Arial"/>
          <w:color w:val="666666"/>
          <w:sz w:val="20"/>
          <w:szCs w:val="20"/>
          <w:lang w:val="es-AR" w:eastAsia="es-AR"/>
        </w:rPr>
      </w:pPr>
    </w:p>
    <w:p w:rsidR="003B0D3B" w:rsidRDefault="003B0D3B" w:rsidP="00551A1F">
      <w:pPr>
        <w:pStyle w:val="NormalWeb"/>
        <w:spacing w:before="0" w:beforeAutospacing="0" w:after="0" w:afterAutospacing="0" w:line="360" w:lineRule="auto"/>
        <w:jc w:val="both"/>
        <w:rPr>
          <w:rStyle w:val="negritanovedades"/>
          <w:rFonts w:ascii="Arial" w:eastAsia="Times New Roman" w:hAnsi="Arial" w:cs="Arial"/>
          <w:color w:val="666666"/>
          <w:sz w:val="20"/>
          <w:szCs w:val="20"/>
          <w:lang w:val="es-AR" w:eastAsia="es-AR"/>
        </w:rPr>
      </w:pPr>
    </w:p>
    <w:p w:rsidR="003B0D3B" w:rsidRDefault="003B0D3B" w:rsidP="00551A1F">
      <w:pPr>
        <w:pStyle w:val="NormalWeb"/>
        <w:spacing w:before="0" w:beforeAutospacing="0" w:after="0" w:afterAutospacing="0" w:line="360" w:lineRule="auto"/>
        <w:jc w:val="both"/>
        <w:rPr>
          <w:rStyle w:val="negritanovedades"/>
          <w:rFonts w:ascii="Arial" w:eastAsia="Times New Roman" w:hAnsi="Arial" w:cs="Arial"/>
          <w:color w:val="666666"/>
          <w:sz w:val="20"/>
          <w:szCs w:val="20"/>
          <w:lang w:val="es-AR" w:eastAsia="es-AR"/>
        </w:rPr>
      </w:pPr>
    </w:p>
    <w:p w:rsidR="002D335C" w:rsidRPr="002D335C" w:rsidRDefault="002D335C" w:rsidP="002D335C">
      <w:pPr>
        <w:pStyle w:val="Ttulo1"/>
        <w:spacing w:line="360" w:lineRule="auto"/>
        <w:rPr>
          <w:rFonts w:ascii="Arial" w:eastAsiaTheme="minorHAnsi" w:hAnsi="Arial" w:cs="Arial"/>
          <w:caps/>
          <w:color w:val="376889"/>
          <w:sz w:val="21"/>
          <w:szCs w:val="21"/>
        </w:rPr>
      </w:pPr>
      <w:r w:rsidRPr="002D335C">
        <w:rPr>
          <w:rFonts w:ascii="Arial" w:eastAsiaTheme="minorHAnsi" w:hAnsi="Arial" w:cs="Arial"/>
          <w:caps/>
          <w:color w:val="376889"/>
          <w:sz w:val="21"/>
          <w:szCs w:val="21"/>
        </w:rPr>
        <w:t>OTRA MANERA DE EVITAR EL RECARGO DEL 30% A LAS COMPRAS EN DÓLARES</w:t>
      </w:r>
    </w:p>
    <w:p w:rsidR="002D335C" w:rsidRPr="002D335C" w:rsidRDefault="002D335C" w:rsidP="002D335C">
      <w:pPr>
        <w:spacing w:before="100" w:beforeAutospacing="1" w:after="255" w:line="360" w:lineRule="auto"/>
        <w:jc w:val="both"/>
        <w:rPr>
          <w:rStyle w:val="negritanovedades"/>
          <w:rFonts w:ascii="Arial" w:eastAsia="Times New Roman" w:hAnsi="Arial" w:cs="Arial"/>
          <w:color w:val="666666"/>
          <w:sz w:val="20"/>
          <w:szCs w:val="20"/>
          <w:lang w:val="es-AR" w:eastAsia="es-AR"/>
        </w:rPr>
      </w:pPr>
      <w:r w:rsidRPr="002D335C">
        <w:rPr>
          <w:rStyle w:val="negritanovedades"/>
          <w:rFonts w:ascii="Arial" w:eastAsia="Times New Roman" w:hAnsi="Arial" w:cs="Arial"/>
          <w:color w:val="666666"/>
          <w:sz w:val="20"/>
          <w:szCs w:val="20"/>
          <w:lang w:val="es-AR" w:eastAsia="es-AR"/>
        </w:rPr>
        <w:t>27 diciembre, 2019 - Fuente: </w:t>
      </w:r>
      <w:hyperlink r:id="rId8" w:tgtFrame="_blank" w:history="1">
        <w:r w:rsidRPr="002D335C">
          <w:rPr>
            <w:rStyle w:val="negritanovedades"/>
            <w:rFonts w:ascii="Arial" w:eastAsia="Times New Roman" w:hAnsi="Arial" w:cs="Arial"/>
            <w:color w:val="666666"/>
            <w:sz w:val="20"/>
            <w:szCs w:val="20"/>
            <w:lang w:val="es-AR" w:eastAsia="es-AR"/>
          </w:rPr>
          <w:t>https://www.ambito.com</w:t>
        </w:r>
      </w:hyperlink>
    </w:p>
    <w:p w:rsidR="002D335C" w:rsidRDefault="002D335C" w:rsidP="002D335C">
      <w:pPr>
        <w:jc w:val="center"/>
        <w:rPr>
          <w:rFonts w:ascii="PT Serif" w:hAnsi="PT Serif"/>
          <w:color w:val="313131"/>
          <w:sz w:val="21"/>
          <w:szCs w:val="21"/>
        </w:rPr>
      </w:pPr>
    </w:p>
    <w:p w:rsidR="002D335C" w:rsidRPr="002D335C" w:rsidRDefault="002D335C" w:rsidP="002D335C">
      <w:pPr>
        <w:spacing w:before="100" w:beforeAutospacing="1" w:after="255" w:line="360" w:lineRule="auto"/>
        <w:jc w:val="both"/>
        <w:rPr>
          <w:rStyle w:val="negritanovedades"/>
          <w:rFonts w:ascii="Arial" w:eastAsia="Times New Roman" w:hAnsi="Arial" w:cs="Arial"/>
          <w:color w:val="666666"/>
          <w:sz w:val="20"/>
          <w:szCs w:val="20"/>
          <w:lang w:val="es-AR" w:eastAsia="es-AR"/>
        </w:rPr>
      </w:pPr>
      <w:r w:rsidRPr="002D335C">
        <w:rPr>
          <w:rStyle w:val="negritanovedades"/>
          <w:rFonts w:ascii="Arial" w:eastAsia="Times New Roman" w:hAnsi="Arial" w:cs="Arial"/>
          <w:color w:val="666666"/>
          <w:sz w:val="20"/>
          <w:szCs w:val="20"/>
          <w:lang w:val="es-AR" w:eastAsia="es-AR"/>
        </w:rPr>
        <w:t xml:space="preserve">Para lograr el “salto” y abonar a $63, por debajo de la cotización del dólar “solidario”, son </w:t>
      </w:r>
      <w:proofErr w:type="gramStart"/>
      <w:r w:rsidRPr="002D335C">
        <w:rPr>
          <w:rStyle w:val="negritanovedades"/>
          <w:rFonts w:ascii="Arial" w:eastAsia="Times New Roman" w:hAnsi="Arial" w:cs="Arial"/>
          <w:color w:val="666666"/>
          <w:sz w:val="20"/>
          <w:szCs w:val="20"/>
          <w:lang w:val="es-AR" w:eastAsia="es-AR"/>
        </w:rPr>
        <w:t>indispensable</w:t>
      </w:r>
      <w:proofErr w:type="gramEnd"/>
      <w:r w:rsidRPr="002D335C">
        <w:rPr>
          <w:rStyle w:val="negritanovedades"/>
          <w:rFonts w:ascii="Arial" w:eastAsia="Times New Roman" w:hAnsi="Arial" w:cs="Arial"/>
          <w:color w:val="666666"/>
          <w:sz w:val="20"/>
          <w:szCs w:val="20"/>
          <w:lang w:val="es-AR" w:eastAsia="es-AR"/>
        </w:rPr>
        <w:t xml:space="preserve"> dos condiciones previas a realizar la compra en el exterior.</w:t>
      </w:r>
    </w:p>
    <w:p w:rsidR="002D335C" w:rsidRPr="002D335C" w:rsidRDefault="002D335C" w:rsidP="002D335C">
      <w:pPr>
        <w:spacing w:before="100" w:beforeAutospacing="1" w:after="255" w:line="360" w:lineRule="auto"/>
        <w:jc w:val="both"/>
        <w:rPr>
          <w:rStyle w:val="negritanovedades"/>
          <w:rFonts w:ascii="Arial" w:eastAsia="Times New Roman" w:hAnsi="Arial" w:cs="Arial"/>
          <w:color w:val="666666"/>
          <w:sz w:val="20"/>
          <w:szCs w:val="20"/>
          <w:lang w:val="es-AR" w:eastAsia="es-AR"/>
        </w:rPr>
      </w:pPr>
      <w:r w:rsidRPr="002D335C">
        <w:rPr>
          <w:rStyle w:val="negritanovedades"/>
          <w:rFonts w:ascii="Arial" w:eastAsia="Times New Roman" w:hAnsi="Arial" w:cs="Arial"/>
          <w:color w:val="666666"/>
          <w:sz w:val="20"/>
          <w:szCs w:val="20"/>
          <w:lang w:val="es-AR" w:eastAsia="es-AR"/>
        </w:rPr>
        <w:t>Entrada en vigencia la Ley de Solidaridad Social y el recargo del 30% en la compra de dólar para atesoramiento o para los gastos en moneda extranjera, surgen alternativas para sortear el nuevo impuesto PAIS.</w:t>
      </w:r>
    </w:p>
    <w:p w:rsidR="002D335C" w:rsidRPr="002D335C" w:rsidRDefault="002D335C" w:rsidP="002D335C">
      <w:pPr>
        <w:spacing w:before="100" w:beforeAutospacing="1" w:after="255" w:line="360" w:lineRule="auto"/>
        <w:jc w:val="both"/>
        <w:rPr>
          <w:rStyle w:val="negritanovedades"/>
          <w:rFonts w:ascii="Arial" w:eastAsia="Times New Roman" w:hAnsi="Arial" w:cs="Arial"/>
          <w:color w:val="666666"/>
          <w:sz w:val="20"/>
          <w:szCs w:val="20"/>
          <w:lang w:val="es-AR" w:eastAsia="es-AR"/>
        </w:rPr>
      </w:pPr>
      <w:r w:rsidRPr="002D335C">
        <w:rPr>
          <w:rStyle w:val="negritanovedades"/>
          <w:rFonts w:ascii="Arial" w:eastAsia="Times New Roman" w:hAnsi="Arial" w:cs="Arial"/>
          <w:color w:val="666666"/>
          <w:sz w:val="20"/>
          <w:szCs w:val="20"/>
          <w:lang w:val="es-AR" w:eastAsia="es-AR"/>
        </w:rPr>
        <w:t xml:space="preserve">Las restricciones cambiarias, que limitan totalmente el acceso al dólar para atesoramiento a las empresas y muy significativamente a los particulares, hace que las expectativas se concentren en lo que puede ocurrir en los mercados alternativos, además del dólar </w:t>
      </w:r>
      <w:proofErr w:type="spellStart"/>
      <w:r w:rsidRPr="002D335C">
        <w:rPr>
          <w:rStyle w:val="negritanovedades"/>
          <w:rFonts w:ascii="Arial" w:eastAsia="Times New Roman" w:hAnsi="Arial" w:cs="Arial"/>
          <w:color w:val="666666"/>
          <w:sz w:val="20"/>
          <w:szCs w:val="20"/>
          <w:lang w:val="es-AR" w:eastAsia="es-AR"/>
        </w:rPr>
        <w:t>blue</w:t>
      </w:r>
      <w:proofErr w:type="spellEnd"/>
      <w:r w:rsidRPr="002D335C">
        <w:rPr>
          <w:rStyle w:val="negritanovedades"/>
          <w:rFonts w:ascii="Arial" w:eastAsia="Times New Roman" w:hAnsi="Arial" w:cs="Arial"/>
          <w:color w:val="666666"/>
          <w:sz w:val="20"/>
          <w:szCs w:val="20"/>
          <w:lang w:val="es-AR" w:eastAsia="es-AR"/>
        </w:rPr>
        <w:t xml:space="preserve"> o informal.</w:t>
      </w:r>
    </w:p>
    <w:p w:rsidR="002D335C" w:rsidRPr="002D335C" w:rsidRDefault="002D335C" w:rsidP="002D335C">
      <w:pPr>
        <w:spacing w:before="100" w:beforeAutospacing="1" w:after="255" w:line="360" w:lineRule="auto"/>
        <w:jc w:val="both"/>
        <w:rPr>
          <w:rStyle w:val="negritanovedades"/>
          <w:rFonts w:ascii="Arial" w:eastAsia="Times New Roman" w:hAnsi="Arial" w:cs="Arial"/>
          <w:color w:val="666666"/>
          <w:sz w:val="20"/>
          <w:szCs w:val="20"/>
          <w:lang w:val="es-AR" w:eastAsia="es-AR"/>
        </w:rPr>
      </w:pPr>
      <w:r w:rsidRPr="002D335C">
        <w:rPr>
          <w:rStyle w:val="negritanovedades"/>
          <w:rFonts w:ascii="Arial" w:eastAsia="Times New Roman" w:hAnsi="Arial" w:cs="Arial"/>
          <w:color w:val="666666"/>
          <w:sz w:val="20"/>
          <w:szCs w:val="20"/>
          <w:lang w:val="es-AR" w:eastAsia="es-AR"/>
        </w:rPr>
        <w:t>Son los circuitos legales del dólar Bolsa o dólar MEP (Mercado Electrónico de Pagos), que opera a $72,35 y el “contado con liquidación” (CCL) en $73,43. Son formas alternativas para hacerse de dólares, a través de la compra y venta de títulos públicos en el caso del MEP, y de bonos o acciones para el CCL.</w:t>
      </w:r>
    </w:p>
    <w:p w:rsidR="002D335C" w:rsidRPr="002D335C" w:rsidRDefault="002D335C" w:rsidP="002D335C">
      <w:pPr>
        <w:spacing w:before="100" w:beforeAutospacing="1" w:after="255" w:line="360" w:lineRule="auto"/>
        <w:jc w:val="both"/>
        <w:rPr>
          <w:rStyle w:val="negritanovedades"/>
          <w:rFonts w:ascii="Arial" w:eastAsia="Times New Roman" w:hAnsi="Arial" w:cs="Arial"/>
          <w:color w:val="666666"/>
          <w:sz w:val="20"/>
          <w:szCs w:val="20"/>
          <w:lang w:val="es-AR" w:eastAsia="es-AR"/>
        </w:rPr>
      </w:pPr>
      <w:r w:rsidRPr="002D335C">
        <w:rPr>
          <w:rStyle w:val="negritanovedades"/>
          <w:rFonts w:ascii="Arial" w:eastAsia="Times New Roman" w:hAnsi="Arial" w:cs="Arial"/>
          <w:color w:val="666666"/>
          <w:sz w:val="20"/>
          <w:szCs w:val="20"/>
          <w:lang w:val="es-AR" w:eastAsia="es-AR"/>
        </w:rPr>
        <w:t>Pero si de turismo se trata, otra manera surge para evitar el 30% extra. Varios bancos confirmaron por lo bajo a sus clientes que si viajan al exterior y compran bienes o servicios con sus tarjetas de débito vinculadas a cajas de ahorro en dólares, no se les cobra el tributo “solidario”, que hoy encareció el tipo de cambio a $81,90 ($63 + $18,90).</w:t>
      </w:r>
    </w:p>
    <w:p w:rsidR="002D335C" w:rsidRPr="002D335C" w:rsidRDefault="002D335C" w:rsidP="002D335C">
      <w:pPr>
        <w:spacing w:before="100" w:beforeAutospacing="1" w:after="255" w:line="360" w:lineRule="auto"/>
        <w:jc w:val="both"/>
        <w:rPr>
          <w:rStyle w:val="negritanovedades"/>
          <w:rFonts w:ascii="Arial" w:eastAsia="Times New Roman" w:hAnsi="Arial" w:cs="Arial"/>
          <w:color w:val="666666"/>
          <w:sz w:val="20"/>
          <w:szCs w:val="20"/>
          <w:lang w:val="es-AR" w:eastAsia="es-AR"/>
        </w:rPr>
      </w:pPr>
      <w:r w:rsidRPr="002D335C">
        <w:rPr>
          <w:rStyle w:val="negritanovedades"/>
          <w:rFonts w:ascii="Arial" w:eastAsia="Times New Roman" w:hAnsi="Arial" w:cs="Arial"/>
          <w:color w:val="666666"/>
          <w:sz w:val="20"/>
          <w:szCs w:val="20"/>
          <w:lang w:val="es-AR" w:eastAsia="es-AR"/>
        </w:rPr>
        <w:t>Para lograr el “salto” y abonar a $63, son indispensables dos condiciones previas a realizar la compra en el exterior:</w:t>
      </w:r>
    </w:p>
    <w:p w:rsidR="002D335C" w:rsidRPr="002D335C" w:rsidRDefault="002D335C" w:rsidP="002D335C">
      <w:pPr>
        <w:numPr>
          <w:ilvl w:val="0"/>
          <w:numId w:val="35"/>
        </w:numPr>
        <w:spacing w:before="100" w:beforeAutospacing="1" w:after="105" w:line="360" w:lineRule="auto"/>
        <w:jc w:val="both"/>
        <w:rPr>
          <w:rStyle w:val="negritanovedades"/>
          <w:rFonts w:ascii="Arial" w:eastAsia="Times New Roman" w:hAnsi="Arial" w:cs="Arial"/>
          <w:color w:val="666666"/>
          <w:sz w:val="20"/>
          <w:szCs w:val="20"/>
          <w:lang w:val="es-AR" w:eastAsia="es-AR"/>
        </w:rPr>
      </w:pPr>
      <w:r w:rsidRPr="002D335C">
        <w:rPr>
          <w:rStyle w:val="negritanovedades"/>
          <w:rFonts w:ascii="Arial" w:eastAsia="Times New Roman" w:hAnsi="Arial" w:cs="Arial"/>
          <w:color w:val="666666"/>
          <w:sz w:val="20"/>
          <w:szCs w:val="20"/>
          <w:lang w:val="es-AR" w:eastAsia="es-AR"/>
        </w:rPr>
        <w:t>Contar con dólares en la cuenta.</w:t>
      </w:r>
    </w:p>
    <w:p w:rsidR="002D335C" w:rsidRPr="002D335C" w:rsidRDefault="002D335C" w:rsidP="002D335C">
      <w:pPr>
        <w:numPr>
          <w:ilvl w:val="0"/>
          <w:numId w:val="35"/>
        </w:numPr>
        <w:spacing w:before="100" w:beforeAutospacing="1" w:after="105" w:line="360" w:lineRule="auto"/>
        <w:jc w:val="both"/>
        <w:rPr>
          <w:rStyle w:val="negritanovedades"/>
          <w:rFonts w:ascii="Arial" w:eastAsia="Times New Roman" w:hAnsi="Arial" w:cs="Arial"/>
          <w:color w:val="666666"/>
          <w:sz w:val="20"/>
          <w:szCs w:val="20"/>
          <w:lang w:val="es-AR" w:eastAsia="es-AR"/>
        </w:rPr>
      </w:pPr>
      <w:r w:rsidRPr="002D335C">
        <w:rPr>
          <w:rStyle w:val="negritanovedades"/>
          <w:rFonts w:ascii="Arial" w:eastAsia="Times New Roman" w:hAnsi="Arial" w:cs="Arial"/>
          <w:color w:val="666666"/>
          <w:sz w:val="20"/>
          <w:szCs w:val="20"/>
          <w:lang w:val="es-AR" w:eastAsia="es-AR"/>
        </w:rPr>
        <w:t>Informar a la entidad que emitió la tarjeta que el dinero debe ser tomado de la cuenta en dólares y no de la nominada en pesos. Si eso no ocurre, el banco cobrará el 30% de recargo.</w:t>
      </w:r>
    </w:p>
    <w:p w:rsidR="002D335C" w:rsidRPr="00551A1F" w:rsidRDefault="002D335C" w:rsidP="00551A1F">
      <w:pPr>
        <w:pStyle w:val="NormalWeb"/>
        <w:spacing w:before="0" w:beforeAutospacing="0" w:after="0" w:afterAutospacing="0" w:line="360" w:lineRule="auto"/>
        <w:jc w:val="both"/>
        <w:rPr>
          <w:rStyle w:val="negritanovedades"/>
          <w:rFonts w:ascii="Arial" w:eastAsia="Times New Roman" w:hAnsi="Arial" w:cs="Arial"/>
          <w:color w:val="666666"/>
          <w:sz w:val="20"/>
          <w:szCs w:val="20"/>
          <w:lang w:val="es-AR" w:eastAsia="es-AR"/>
        </w:rPr>
      </w:pPr>
    </w:p>
    <w:sectPr w:rsidR="002D335C" w:rsidRPr="00551A1F" w:rsidSect="002A1585">
      <w:headerReference w:type="default" r:id="rId9"/>
      <w:footerReference w:type="default" r:id="rId10"/>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DC2" w:rsidRDefault="00E62DC2" w:rsidP="00A22916">
      <w:r>
        <w:separator/>
      </w:r>
    </w:p>
  </w:endnote>
  <w:endnote w:type="continuationSeparator" w:id="0">
    <w:p w:rsidR="00E62DC2" w:rsidRDefault="00E62DC2"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PT Serif">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C2" w:rsidRDefault="00E62DC2"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3B0D3B" w:rsidRPr="003B0D3B">
        <w:rPr>
          <w:rFonts w:asciiTheme="majorHAnsi" w:hAnsiTheme="majorHAnsi"/>
          <w:noProof/>
        </w:rPr>
        <w:t>7</w:t>
      </w:r>
    </w:fldSimple>
  </w:p>
  <w:p w:rsidR="00E62DC2" w:rsidRDefault="00E62DC2" w:rsidP="0063669F">
    <w:pPr>
      <w:pStyle w:val="Piedepgina"/>
    </w:pPr>
  </w:p>
  <w:p w:rsidR="00E62DC2" w:rsidRDefault="00E62DC2" w:rsidP="0063669F">
    <w:pPr>
      <w:pStyle w:val="Piedepgina"/>
    </w:pPr>
  </w:p>
  <w:p w:rsidR="00E62DC2" w:rsidRDefault="00E62DC2"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DC2" w:rsidRDefault="00E62DC2" w:rsidP="00A22916">
      <w:r>
        <w:separator/>
      </w:r>
    </w:p>
  </w:footnote>
  <w:footnote w:type="continuationSeparator" w:id="0">
    <w:p w:rsidR="00E62DC2" w:rsidRDefault="00E62DC2"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C2" w:rsidRDefault="00E62DC2"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52-19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D11D0E"/>
    <w:multiLevelType w:val="multilevel"/>
    <w:tmpl w:val="B586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0343E3"/>
    <w:multiLevelType w:val="multilevel"/>
    <w:tmpl w:val="4DF2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A32318"/>
    <w:multiLevelType w:val="hybridMultilevel"/>
    <w:tmpl w:val="355C8A18"/>
    <w:lvl w:ilvl="0" w:tplc="2C0A000B">
      <w:start w:val="1"/>
      <w:numFmt w:val="bullet"/>
      <w:lvlText w:val=""/>
      <w:lvlJc w:val="left"/>
      <w:pPr>
        <w:ind w:left="720" w:hanging="360"/>
      </w:pPr>
      <w:rPr>
        <w:rFonts w:ascii="Wingdings" w:hAnsi="Wingdings" w:hint="default"/>
      </w:rPr>
    </w:lvl>
    <w:lvl w:ilvl="1" w:tplc="2250D43E">
      <w:numFmt w:val="bullet"/>
      <w:lvlText w:val=""/>
      <w:lvlJc w:val="left"/>
      <w:pPr>
        <w:ind w:left="1440" w:hanging="360"/>
      </w:pPr>
      <w:rPr>
        <w:rFonts w:ascii="Symbol" w:eastAsia="Times New Roman" w:hAnsi="Symbo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263567E2"/>
    <w:multiLevelType w:val="hybridMultilevel"/>
    <w:tmpl w:val="A39AC372"/>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3">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8">
    <w:nsid w:val="2F576088"/>
    <w:multiLevelType w:val="hybridMultilevel"/>
    <w:tmpl w:val="545CB0A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44163635"/>
    <w:multiLevelType w:val="multilevel"/>
    <w:tmpl w:val="A0BA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0E1DD3"/>
    <w:multiLevelType w:val="hybridMultilevel"/>
    <w:tmpl w:val="A628C3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6A661E6"/>
    <w:multiLevelType w:val="hybridMultilevel"/>
    <w:tmpl w:val="0CF8E57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2">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4"/>
  </w:num>
  <w:num w:numId="7">
    <w:abstractNumId w:val="32"/>
  </w:num>
  <w:num w:numId="8">
    <w:abstractNumId w:val="31"/>
  </w:num>
  <w:num w:numId="9">
    <w:abstractNumId w:val="17"/>
  </w:num>
  <w:num w:numId="10">
    <w:abstractNumId w:val="29"/>
  </w:num>
  <w:num w:numId="11">
    <w:abstractNumId w:val="16"/>
  </w:num>
  <w:num w:numId="12">
    <w:abstractNumId w:val="19"/>
  </w:num>
  <w:num w:numId="13">
    <w:abstractNumId w:val="20"/>
  </w:num>
  <w:num w:numId="14">
    <w:abstractNumId w:val="8"/>
  </w:num>
  <w:num w:numId="15">
    <w:abstractNumId w:val="13"/>
  </w:num>
  <w:num w:numId="16">
    <w:abstractNumId w:val="5"/>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6"/>
  </w:num>
  <w:num w:numId="20">
    <w:abstractNumId w:val="2"/>
  </w:num>
  <w:num w:numId="21">
    <w:abstractNumId w:val="7"/>
  </w:num>
  <w:num w:numId="22">
    <w:abstractNumId w:val="30"/>
  </w:num>
  <w:num w:numId="23">
    <w:abstractNumId w:val="4"/>
  </w:num>
  <w:num w:numId="24">
    <w:abstractNumId w:val="6"/>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2"/>
  </w:num>
  <w:num w:numId="28">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5"/>
  </w:num>
  <w:num w:numId="31">
    <w:abstractNumId w:val="12"/>
  </w:num>
  <w:num w:numId="32">
    <w:abstractNumId w:val="11"/>
  </w:num>
  <w:num w:numId="33">
    <w:abstractNumId w:val="18"/>
  </w:num>
  <w:num w:numId="34">
    <w:abstractNumId w:val="27"/>
  </w:num>
  <w:num w:numId="35">
    <w:abstractNumId w:val="3"/>
    <w:lvlOverride w:ilvl="0">
      <w:lvl w:ilvl="0">
        <w:numFmt w:val="bullet"/>
        <w:lvlText w:val=""/>
        <w:lvlJc w:val="left"/>
        <w:pPr>
          <w:tabs>
            <w:tab w:val="num" w:pos="720"/>
          </w:tabs>
          <w:ind w:left="720" w:hanging="360"/>
        </w:pPr>
        <w:rPr>
          <w:rFonts w:ascii="Wingdings" w:hAnsi="Wingdings" w:hint="default"/>
          <w:sz w:val="20"/>
        </w:rPr>
      </w:lvl>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B7B"/>
    <w:rsid w:val="00010986"/>
    <w:rsid w:val="00010993"/>
    <w:rsid w:val="00011E32"/>
    <w:rsid w:val="000141BB"/>
    <w:rsid w:val="0001798D"/>
    <w:rsid w:val="00020720"/>
    <w:rsid w:val="00024857"/>
    <w:rsid w:val="00024BA0"/>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87F90"/>
    <w:rsid w:val="000902D4"/>
    <w:rsid w:val="00091AF1"/>
    <w:rsid w:val="000938D2"/>
    <w:rsid w:val="00093DD6"/>
    <w:rsid w:val="000959E0"/>
    <w:rsid w:val="000A444A"/>
    <w:rsid w:val="000A498D"/>
    <w:rsid w:val="000B1065"/>
    <w:rsid w:val="000B25E4"/>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767B"/>
    <w:rsid w:val="00122901"/>
    <w:rsid w:val="0012658E"/>
    <w:rsid w:val="00126ACA"/>
    <w:rsid w:val="00134995"/>
    <w:rsid w:val="00135AA0"/>
    <w:rsid w:val="00135BCF"/>
    <w:rsid w:val="00136B14"/>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18AA"/>
    <w:rsid w:val="00193005"/>
    <w:rsid w:val="00195BB4"/>
    <w:rsid w:val="0019731C"/>
    <w:rsid w:val="001A31B7"/>
    <w:rsid w:val="001A4644"/>
    <w:rsid w:val="001A5BCA"/>
    <w:rsid w:val="001B127D"/>
    <w:rsid w:val="001B1392"/>
    <w:rsid w:val="001B1B26"/>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14CE"/>
    <w:rsid w:val="00251B56"/>
    <w:rsid w:val="002551A7"/>
    <w:rsid w:val="00257FF4"/>
    <w:rsid w:val="002623BD"/>
    <w:rsid w:val="002624C4"/>
    <w:rsid w:val="0026302D"/>
    <w:rsid w:val="002638FA"/>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4B8"/>
    <w:rsid w:val="002A3555"/>
    <w:rsid w:val="002B06F2"/>
    <w:rsid w:val="002B09F0"/>
    <w:rsid w:val="002B1B93"/>
    <w:rsid w:val="002B1FF7"/>
    <w:rsid w:val="002B2A40"/>
    <w:rsid w:val="002B3E46"/>
    <w:rsid w:val="002B5F87"/>
    <w:rsid w:val="002C01BA"/>
    <w:rsid w:val="002C2500"/>
    <w:rsid w:val="002C3ED4"/>
    <w:rsid w:val="002C5F80"/>
    <w:rsid w:val="002D15E2"/>
    <w:rsid w:val="002D1AF7"/>
    <w:rsid w:val="002D2CE9"/>
    <w:rsid w:val="002D335C"/>
    <w:rsid w:val="002D5824"/>
    <w:rsid w:val="002D6A6D"/>
    <w:rsid w:val="002D7BF7"/>
    <w:rsid w:val="002D7C89"/>
    <w:rsid w:val="002D7DD8"/>
    <w:rsid w:val="002E03B4"/>
    <w:rsid w:val="002E2C7D"/>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2475"/>
    <w:rsid w:val="00351287"/>
    <w:rsid w:val="00354827"/>
    <w:rsid w:val="00354D8B"/>
    <w:rsid w:val="00356793"/>
    <w:rsid w:val="00356AE3"/>
    <w:rsid w:val="00356E00"/>
    <w:rsid w:val="00363D85"/>
    <w:rsid w:val="00366324"/>
    <w:rsid w:val="003669E8"/>
    <w:rsid w:val="0037064F"/>
    <w:rsid w:val="00371368"/>
    <w:rsid w:val="00373FA9"/>
    <w:rsid w:val="00383AD6"/>
    <w:rsid w:val="00383E0A"/>
    <w:rsid w:val="00384AD2"/>
    <w:rsid w:val="00387F1F"/>
    <w:rsid w:val="003A0047"/>
    <w:rsid w:val="003A1FE2"/>
    <w:rsid w:val="003A2813"/>
    <w:rsid w:val="003A570E"/>
    <w:rsid w:val="003A7B3C"/>
    <w:rsid w:val="003B0D3B"/>
    <w:rsid w:val="003B2804"/>
    <w:rsid w:val="003B3D0A"/>
    <w:rsid w:val="003B674E"/>
    <w:rsid w:val="003B7810"/>
    <w:rsid w:val="003C0DB9"/>
    <w:rsid w:val="003D0EDE"/>
    <w:rsid w:val="003D1833"/>
    <w:rsid w:val="003D7987"/>
    <w:rsid w:val="003E023C"/>
    <w:rsid w:val="003E1EB2"/>
    <w:rsid w:val="003E3086"/>
    <w:rsid w:val="003E4228"/>
    <w:rsid w:val="003E7115"/>
    <w:rsid w:val="003F0D3A"/>
    <w:rsid w:val="003F1343"/>
    <w:rsid w:val="003F71CB"/>
    <w:rsid w:val="004009D3"/>
    <w:rsid w:val="00401141"/>
    <w:rsid w:val="00405A49"/>
    <w:rsid w:val="00405AC5"/>
    <w:rsid w:val="004106EC"/>
    <w:rsid w:val="00410B9F"/>
    <w:rsid w:val="00415ED4"/>
    <w:rsid w:val="0041650B"/>
    <w:rsid w:val="0042119B"/>
    <w:rsid w:val="00422105"/>
    <w:rsid w:val="0042261A"/>
    <w:rsid w:val="0042382F"/>
    <w:rsid w:val="004241A4"/>
    <w:rsid w:val="00424B12"/>
    <w:rsid w:val="0042600F"/>
    <w:rsid w:val="004267D1"/>
    <w:rsid w:val="00426D05"/>
    <w:rsid w:val="00430834"/>
    <w:rsid w:val="00430CD3"/>
    <w:rsid w:val="00435CE1"/>
    <w:rsid w:val="00437F8F"/>
    <w:rsid w:val="004407D1"/>
    <w:rsid w:val="00443529"/>
    <w:rsid w:val="00443CD0"/>
    <w:rsid w:val="004503E0"/>
    <w:rsid w:val="00450B7D"/>
    <w:rsid w:val="00455005"/>
    <w:rsid w:val="00455EBD"/>
    <w:rsid w:val="004569CE"/>
    <w:rsid w:val="00456DA9"/>
    <w:rsid w:val="00461716"/>
    <w:rsid w:val="00462760"/>
    <w:rsid w:val="0047057E"/>
    <w:rsid w:val="004712E3"/>
    <w:rsid w:val="0047344F"/>
    <w:rsid w:val="0047412D"/>
    <w:rsid w:val="004760AD"/>
    <w:rsid w:val="00477975"/>
    <w:rsid w:val="00483559"/>
    <w:rsid w:val="00483F29"/>
    <w:rsid w:val="00484F8D"/>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C725D"/>
    <w:rsid w:val="004D144A"/>
    <w:rsid w:val="004D1D0A"/>
    <w:rsid w:val="004D2218"/>
    <w:rsid w:val="004D3372"/>
    <w:rsid w:val="004D4BFE"/>
    <w:rsid w:val="004D5A93"/>
    <w:rsid w:val="004D7E15"/>
    <w:rsid w:val="004E007C"/>
    <w:rsid w:val="004E11B3"/>
    <w:rsid w:val="004E1502"/>
    <w:rsid w:val="004E150F"/>
    <w:rsid w:val="004E2070"/>
    <w:rsid w:val="004E228E"/>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16F1"/>
    <w:rsid w:val="00551A1F"/>
    <w:rsid w:val="00552D41"/>
    <w:rsid w:val="005533E7"/>
    <w:rsid w:val="00557631"/>
    <w:rsid w:val="005578BC"/>
    <w:rsid w:val="005616AD"/>
    <w:rsid w:val="005616C9"/>
    <w:rsid w:val="00561E9D"/>
    <w:rsid w:val="00567FFD"/>
    <w:rsid w:val="0057177B"/>
    <w:rsid w:val="0057178D"/>
    <w:rsid w:val="0058111C"/>
    <w:rsid w:val="005816C7"/>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1EFB"/>
    <w:rsid w:val="006C306C"/>
    <w:rsid w:val="006C66B7"/>
    <w:rsid w:val="006D1AF4"/>
    <w:rsid w:val="006D716F"/>
    <w:rsid w:val="006E5CD5"/>
    <w:rsid w:val="006E75AB"/>
    <w:rsid w:val="006E79DC"/>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6B72"/>
    <w:rsid w:val="0074014A"/>
    <w:rsid w:val="00742655"/>
    <w:rsid w:val="00745098"/>
    <w:rsid w:val="0074517C"/>
    <w:rsid w:val="00745FFC"/>
    <w:rsid w:val="007463A3"/>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22DF"/>
    <w:rsid w:val="007872C0"/>
    <w:rsid w:val="0078779E"/>
    <w:rsid w:val="00793394"/>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4195"/>
    <w:rsid w:val="007F74B0"/>
    <w:rsid w:val="00801B11"/>
    <w:rsid w:val="008035FD"/>
    <w:rsid w:val="008051D9"/>
    <w:rsid w:val="008057A5"/>
    <w:rsid w:val="00807984"/>
    <w:rsid w:val="00807F0C"/>
    <w:rsid w:val="0081031F"/>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734"/>
    <w:rsid w:val="00850DD9"/>
    <w:rsid w:val="00856675"/>
    <w:rsid w:val="00857156"/>
    <w:rsid w:val="0086182D"/>
    <w:rsid w:val="00861F2E"/>
    <w:rsid w:val="008637DE"/>
    <w:rsid w:val="00865723"/>
    <w:rsid w:val="00865DEA"/>
    <w:rsid w:val="00866BC8"/>
    <w:rsid w:val="00872D6C"/>
    <w:rsid w:val="0087497C"/>
    <w:rsid w:val="008753DB"/>
    <w:rsid w:val="0087707A"/>
    <w:rsid w:val="0088157D"/>
    <w:rsid w:val="0088764F"/>
    <w:rsid w:val="00890DB8"/>
    <w:rsid w:val="00894C64"/>
    <w:rsid w:val="0089551F"/>
    <w:rsid w:val="00897BE8"/>
    <w:rsid w:val="008A40E4"/>
    <w:rsid w:val="008A4816"/>
    <w:rsid w:val="008B03B5"/>
    <w:rsid w:val="008B169F"/>
    <w:rsid w:val="008B173D"/>
    <w:rsid w:val="008B32BE"/>
    <w:rsid w:val="008B48AF"/>
    <w:rsid w:val="008B4F6A"/>
    <w:rsid w:val="008B6E61"/>
    <w:rsid w:val="008C04BC"/>
    <w:rsid w:val="008C1537"/>
    <w:rsid w:val="008C19D9"/>
    <w:rsid w:val="008C33A4"/>
    <w:rsid w:val="008C4219"/>
    <w:rsid w:val="008C6A53"/>
    <w:rsid w:val="008C7B0A"/>
    <w:rsid w:val="008D06FE"/>
    <w:rsid w:val="008D1DA1"/>
    <w:rsid w:val="008D2886"/>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3583"/>
    <w:rsid w:val="00954837"/>
    <w:rsid w:val="00955F3D"/>
    <w:rsid w:val="00957658"/>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4981"/>
    <w:rsid w:val="009A5003"/>
    <w:rsid w:val="009A513D"/>
    <w:rsid w:val="009B1798"/>
    <w:rsid w:val="009B23B8"/>
    <w:rsid w:val="009B38E7"/>
    <w:rsid w:val="009B5379"/>
    <w:rsid w:val="009B5884"/>
    <w:rsid w:val="009C1F29"/>
    <w:rsid w:val="009C49CB"/>
    <w:rsid w:val="009D2066"/>
    <w:rsid w:val="009D44D5"/>
    <w:rsid w:val="009D4CBF"/>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771F"/>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B2D"/>
    <w:rsid w:val="00A9401F"/>
    <w:rsid w:val="00A94DF6"/>
    <w:rsid w:val="00A97F7F"/>
    <w:rsid w:val="00AA0C38"/>
    <w:rsid w:val="00AA2436"/>
    <w:rsid w:val="00AA2AB5"/>
    <w:rsid w:val="00AA5FC8"/>
    <w:rsid w:val="00AB18C4"/>
    <w:rsid w:val="00AB3C8F"/>
    <w:rsid w:val="00AB4BDE"/>
    <w:rsid w:val="00AB7BC2"/>
    <w:rsid w:val="00AC08D6"/>
    <w:rsid w:val="00AC0D04"/>
    <w:rsid w:val="00AC1F32"/>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16A0"/>
    <w:rsid w:val="00B436EB"/>
    <w:rsid w:val="00B44ED8"/>
    <w:rsid w:val="00B46298"/>
    <w:rsid w:val="00B462DB"/>
    <w:rsid w:val="00B50095"/>
    <w:rsid w:val="00B5082D"/>
    <w:rsid w:val="00B50F66"/>
    <w:rsid w:val="00B515D9"/>
    <w:rsid w:val="00B53C7F"/>
    <w:rsid w:val="00B5534A"/>
    <w:rsid w:val="00B557A9"/>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7EF7"/>
    <w:rsid w:val="00BC0A33"/>
    <w:rsid w:val="00BC7080"/>
    <w:rsid w:val="00BC725C"/>
    <w:rsid w:val="00BC72AF"/>
    <w:rsid w:val="00BD1199"/>
    <w:rsid w:val="00BD286D"/>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063FC"/>
    <w:rsid w:val="00C16897"/>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E050C"/>
    <w:rsid w:val="00CE0F03"/>
    <w:rsid w:val="00CE1B5C"/>
    <w:rsid w:val="00CE2963"/>
    <w:rsid w:val="00CE400C"/>
    <w:rsid w:val="00CE478D"/>
    <w:rsid w:val="00CE6FC5"/>
    <w:rsid w:val="00CE7E51"/>
    <w:rsid w:val="00CF02BA"/>
    <w:rsid w:val="00CF5462"/>
    <w:rsid w:val="00D00832"/>
    <w:rsid w:val="00D02745"/>
    <w:rsid w:val="00D03A65"/>
    <w:rsid w:val="00D05D33"/>
    <w:rsid w:val="00D05E65"/>
    <w:rsid w:val="00D06244"/>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6094"/>
    <w:rsid w:val="00D8733D"/>
    <w:rsid w:val="00D90A26"/>
    <w:rsid w:val="00D951BB"/>
    <w:rsid w:val="00D95910"/>
    <w:rsid w:val="00D978A4"/>
    <w:rsid w:val="00DA34B5"/>
    <w:rsid w:val="00DA4170"/>
    <w:rsid w:val="00DA7B32"/>
    <w:rsid w:val="00DB374E"/>
    <w:rsid w:val="00DB3E82"/>
    <w:rsid w:val="00DB4EAF"/>
    <w:rsid w:val="00DB5C26"/>
    <w:rsid w:val="00DB660E"/>
    <w:rsid w:val="00DB7AEE"/>
    <w:rsid w:val="00DC01EF"/>
    <w:rsid w:val="00DC11B0"/>
    <w:rsid w:val="00DC197E"/>
    <w:rsid w:val="00DC3958"/>
    <w:rsid w:val="00DC5162"/>
    <w:rsid w:val="00DC67E6"/>
    <w:rsid w:val="00DC697C"/>
    <w:rsid w:val="00DC76A1"/>
    <w:rsid w:val="00DD4EB3"/>
    <w:rsid w:val="00DD71F0"/>
    <w:rsid w:val="00DE0214"/>
    <w:rsid w:val="00DE070E"/>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208A5"/>
    <w:rsid w:val="00E20E7A"/>
    <w:rsid w:val="00E20E89"/>
    <w:rsid w:val="00E26C42"/>
    <w:rsid w:val="00E27D8A"/>
    <w:rsid w:val="00E35D3D"/>
    <w:rsid w:val="00E40D9C"/>
    <w:rsid w:val="00E42CF2"/>
    <w:rsid w:val="00E503A6"/>
    <w:rsid w:val="00E50433"/>
    <w:rsid w:val="00E52026"/>
    <w:rsid w:val="00E554AC"/>
    <w:rsid w:val="00E5555E"/>
    <w:rsid w:val="00E576B6"/>
    <w:rsid w:val="00E57F81"/>
    <w:rsid w:val="00E60C50"/>
    <w:rsid w:val="00E61074"/>
    <w:rsid w:val="00E62DC2"/>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82E"/>
    <w:rsid w:val="00EA6378"/>
    <w:rsid w:val="00EA770C"/>
    <w:rsid w:val="00EB166D"/>
    <w:rsid w:val="00EB4775"/>
    <w:rsid w:val="00EB53F9"/>
    <w:rsid w:val="00EB5F3E"/>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1FB"/>
    <w:rsid w:val="00F42668"/>
    <w:rsid w:val="00F478EC"/>
    <w:rsid w:val="00F500D0"/>
    <w:rsid w:val="00F53620"/>
    <w:rsid w:val="00F542F5"/>
    <w:rsid w:val="00F54A5E"/>
    <w:rsid w:val="00F55D28"/>
    <w:rsid w:val="00F56404"/>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6DB7"/>
    <w:rsid w:val="00FD73A0"/>
    <w:rsid w:val="00FD769B"/>
    <w:rsid w:val="00FE1362"/>
    <w:rsid w:val="00FE169F"/>
    <w:rsid w:val="00FE527E"/>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uiPriority w:val="99"/>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semiHidden/>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semiHidden/>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bito.com/finanzas/dolar/otra-manera-evitar-el-recargo-del-30-las-compras-dolares-n50732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C749A9-802F-410C-AA07-02541DF6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1701</Words>
  <Characters>9357</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4</cp:revision>
  <dcterms:created xsi:type="dcterms:W3CDTF">2019-12-27T20:34:00Z</dcterms:created>
  <dcterms:modified xsi:type="dcterms:W3CDTF">2019-12-27T21:35:00Z</dcterms:modified>
</cp:coreProperties>
</file>